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佛山建筑领域分账系统</w:t>
      </w:r>
    </w:p>
    <w:p>
      <w:pPr>
        <w:spacing w:before="120" w:after="120" w:line="220" w:lineRule="atLeast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使用说明书(银行版)</w:t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  <w:jc w:val="center"/>
      </w:pPr>
      <w:r>
        <w:rPr>
          <w:rFonts w:hint="eastAsia"/>
        </w:rPr>
        <w:t>广东省佛山分行</w:t>
      </w:r>
    </w:p>
    <w:p>
      <w:pPr>
        <w:spacing w:before="120" w:after="120" w:line="220" w:lineRule="atLeast"/>
        <w:jc w:val="center"/>
      </w:pPr>
      <w:r>
        <w:rPr>
          <w:rFonts w:hint="eastAsia"/>
        </w:rPr>
        <w:t>2023年04月</w:t>
      </w:r>
    </w:p>
    <w:p>
      <w:pPr>
        <w:adjustRightInd/>
        <w:snapToGrid/>
        <w:spacing w:before="120" w:after="120"/>
      </w:pPr>
    </w:p>
    <w:p>
      <w:pPr>
        <w:adjustRightInd/>
        <w:snapToGrid/>
        <w:spacing w:before="120" w:after="120" w:line="220" w:lineRule="atLeast"/>
      </w:pPr>
    </w:p>
    <w:sdt>
      <w:sdtPr>
        <w:rPr>
          <w:rFonts w:ascii="Tahoma" w:hAnsi="Tahoma" w:eastAsiaTheme="minorEastAsia" w:cstheme="minorBidi"/>
          <w:color w:val="auto"/>
          <w:sz w:val="24"/>
          <w:szCs w:val="22"/>
          <w:lang w:val="zh-CN"/>
        </w:rPr>
        <w:id w:val="-1307247657"/>
      </w:sdtPr>
      <w:sdtEndPr>
        <w:rPr>
          <w:rFonts w:ascii="Tahoma" w:hAnsi="Tahoma" w:eastAsia="宋体" w:cstheme="minorBidi"/>
          <w:b/>
          <w:bCs/>
          <w:color w:val="auto"/>
          <w:sz w:val="24"/>
          <w:szCs w:val="22"/>
          <w:lang w:val="zh-CN"/>
        </w:rPr>
      </w:sdtEndPr>
      <w:sdtContent>
        <w:p>
          <w:pPr>
            <w:pStyle w:val="28"/>
            <w:spacing w:before="120" w:after="120"/>
          </w:pPr>
          <w:r>
            <w:rPr>
              <w:lang w:val="zh-CN"/>
            </w:rPr>
            <w:t>目录</w:t>
          </w:r>
        </w:p>
        <w:p>
          <w:pPr>
            <w:pStyle w:val="13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"_Toc56088468" </w:instrText>
          </w:r>
          <w:r>
            <w:fldChar w:fldCharType="separate"/>
          </w:r>
          <w:r>
            <w:rPr>
              <w:rStyle w:val="21"/>
            </w:rPr>
            <w:t>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系统架构</w:t>
          </w:r>
          <w:r>
            <w:tab/>
          </w:r>
          <w:r>
            <w:fldChar w:fldCharType="begin"/>
          </w:r>
          <w:r>
            <w:instrText xml:space="preserve"> PAGEREF _Toc56088468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"_Toc56088469" </w:instrText>
          </w:r>
          <w:r>
            <w:fldChar w:fldCharType="separate"/>
          </w:r>
          <w:r>
            <w:rPr>
              <w:rStyle w:val="21"/>
            </w:rPr>
            <w:t>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系统简介</w:t>
          </w:r>
          <w:r>
            <w:tab/>
          </w:r>
          <w:r>
            <w:fldChar w:fldCharType="begin"/>
          </w:r>
          <w:r>
            <w:instrText xml:space="preserve"> PAGEREF _Toc56088469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"_Toc56088470" </w:instrText>
          </w:r>
          <w:r>
            <w:fldChar w:fldCharType="separate"/>
          </w:r>
          <w:r>
            <w:rPr>
              <w:rStyle w:val="21"/>
            </w:rPr>
            <w:t>2.1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系统功能描述</w:t>
          </w:r>
          <w:r>
            <w:tab/>
          </w:r>
          <w:r>
            <w:fldChar w:fldCharType="begin"/>
          </w:r>
          <w:r>
            <w:instrText xml:space="preserve"> PAGEREF _Toc56088470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"_Toc56088471" </w:instrText>
          </w:r>
          <w:r>
            <w:fldChar w:fldCharType="separate"/>
          </w:r>
          <w:r>
            <w:rPr>
              <w:rStyle w:val="21"/>
            </w:rPr>
            <w:t>2.2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系统用户</w:t>
          </w:r>
          <w:r>
            <w:tab/>
          </w:r>
          <w:r>
            <w:fldChar w:fldCharType="begin"/>
          </w:r>
          <w:r>
            <w:instrText xml:space="preserve"> PAGEREF _Toc56088471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"_Toc56088472" </w:instrText>
          </w:r>
          <w:r>
            <w:fldChar w:fldCharType="separate"/>
          </w:r>
          <w:r>
            <w:rPr>
              <w:rStyle w:val="21"/>
            </w:rPr>
            <w:t>2.3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系统地址</w:t>
          </w:r>
          <w:r>
            <w:tab/>
          </w:r>
          <w:r>
            <w:fldChar w:fldCharType="begin"/>
          </w:r>
          <w:r>
            <w:instrText xml:space="preserve"> PAGEREF _Toc56088472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"_Toc56088473" </w:instrText>
          </w:r>
          <w:r>
            <w:fldChar w:fldCharType="separate"/>
          </w:r>
          <w:r>
            <w:rPr>
              <w:rStyle w:val="21"/>
            </w:rPr>
            <w:t>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系统功能描述</w:t>
          </w:r>
          <w:r>
            <w:tab/>
          </w:r>
          <w:r>
            <w:fldChar w:fldCharType="begin"/>
          </w:r>
          <w:r>
            <w:instrText xml:space="preserve"> PAGEREF _Toc56088473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"_Toc56088474" </w:instrText>
          </w:r>
          <w:r>
            <w:fldChar w:fldCharType="separate"/>
          </w:r>
          <w:r>
            <w:rPr>
              <w:rStyle w:val="21"/>
            </w:rPr>
            <w:t>3.1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_Toc56088474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"_Toc56088475" </w:instrText>
          </w:r>
          <w:r>
            <w:fldChar w:fldCharType="separate"/>
          </w:r>
          <w:r>
            <w:rPr>
              <w:rStyle w:val="21"/>
              <w:caps/>
            </w:rPr>
            <w:t>3.1.1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_Toc56088475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"_Toc56088476" </w:instrText>
          </w:r>
          <w:r>
            <w:fldChar w:fldCharType="separate"/>
          </w:r>
          <w:r>
            <w:rPr>
              <w:rStyle w:val="21"/>
            </w:rPr>
            <w:t>3.2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_Toc56088476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"_Toc56088477" </w:instrText>
          </w:r>
          <w:r>
            <w:fldChar w:fldCharType="separate"/>
          </w:r>
          <w:r>
            <w:rPr>
              <w:rStyle w:val="21"/>
              <w:caps/>
            </w:rPr>
            <w:t>3.2.1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_Toc56088477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"_Toc56088478" </w:instrText>
          </w:r>
          <w:r>
            <w:fldChar w:fldCharType="separate"/>
          </w:r>
          <w:r>
            <w:rPr>
              <w:rStyle w:val="21"/>
              <w:caps/>
            </w:rPr>
            <w:t>3.2.2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_Toc56088478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"_Toc56088479" </w:instrText>
          </w:r>
          <w:r>
            <w:fldChar w:fldCharType="separate"/>
          </w:r>
          <w:r>
            <w:rPr>
              <w:rStyle w:val="21"/>
              <w:caps/>
            </w:rPr>
            <w:t>3.2.3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企业用户管理</w:t>
          </w:r>
          <w:r>
            <w:tab/>
          </w:r>
          <w:r>
            <w:fldChar w:fldCharType="begin"/>
          </w:r>
          <w:r>
            <w:instrText xml:space="preserve"> PAGEREF _Toc56088479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"_Toc56088480" </w:instrText>
          </w:r>
          <w:r>
            <w:fldChar w:fldCharType="separate"/>
          </w:r>
          <w:r>
            <w:rPr>
              <w:rStyle w:val="21"/>
              <w:caps/>
            </w:rPr>
            <w:t>3.2.4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银行用户管理</w:t>
          </w:r>
          <w:r>
            <w:tab/>
          </w:r>
          <w:r>
            <w:fldChar w:fldCharType="begin"/>
          </w:r>
          <w:r>
            <w:instrText xml:space="preserve"> PAGEREF _Toc56088480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"_Toc56088481" </w:instrText>
          </w:r>
          <w:r>
            <w:fldChar w:fldCharType="separate"/>
          </w:r>
          <w:r>
            <w:rPr>
              <w:rStyle w:val="21"/>
            </w:rPr>
            <w:t>3.3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账户管理</w:t>
          </w:r>
          <w:r>
            <w:tab/>
          </w:r>
          <w:r>
            <w:fldChar w:fldCharType="begin"/>
          </w:r>
          <w:r>
            <w:instrText xml:space="preserve"> PAGEREF _Toc56088481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"_Toc56088482" </w:instrText>
          </w:r>
          <w:r>
            <w:fldChar w:fldCharType="separate"/>
          </w:r>
          <w:r>
            <w:rPr>
              <w:rStyle w:val="21"/>
              <w:caps/>
            </w:rPr>
            <w:t>3.3.1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账户信息</w:t>
          </w:r>
          <w:r>
            <w:tab/>
          </w:r>
          <w:r>
            <w:fldChar w:fldCharType="begin"/>
          </w:r>
          <w:r>
            <w:instrText xml:space="preserve"> PAGEREF _Toc56088482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"_Toc56088483" </w:instrText>
          </w:r>
          <w:r>
            <w:fldChar w:fldCharType="separate"/>
          </w:r>
          <w:r>
            <w:rPr>
              <w:rStyle w:val="21"/>
              <w:caps/>
            </w:rPr>
            <w:t>3.3.2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正常开户</w:t>
          </w:r>
          <w:r>
            <w:tab/>
          </w:r>
          <w:r>
            <w:fldChar w:fldCharType="begin"/>
          </w:r>
          <w:r>
            <w:instrText xml:space="preserve"> PAGEREF _Toc56088483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"_Toc56088484" </w:instrText>
          </w:r>
          <w:r>
            <w:fldChar w:fldCharType="separate"/>
          </w:r>
          <w:r>
            <w:rPr>
              <w:rStyle w:val="21"/>
              <w:caps/>
            </w:rPr>
            <w:t>3.3.3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正常销户</w:t>
          </w:r>
          <w:r>
            <w:tab/>
          </w:r>
          <w:r>
            <w:fldChar w:fldCharType="begin"/>
          </w:r>
          <w:r>
            <w:instrText xml:space="preserve"> PAGEREF _Toc56088484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"_Toc56088485" </w:instrText>
          </w:r>
          <w:r>
            <w:fldChar w:fldCharType="separate"/>
          </w:r>
          <w:r>
            <w:rPr>
              <w:rStyle w:val="21"/>
              <w:caps/>
            </w:rPr>
            <w:t>3.3.4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销户信息</w:t>
          </w:r>
          <w:r>
            <w:tab/>
          </w:r>
          <w:r>
            <w:fldChar w:fldCharType="begin"/>
          </w:r>
          <w:r>
            <w:instrText xml:space="preserve"> PAGEREF _Toc56088485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"_Toc56088486" </w:instrText>
          </w:r>
          <w:r>
            <w:fldChar w:fldCharType="separate"/>
          </w:r>
          <w:r>
            <w:rPr>
              <w:rStyle w:val="21"/>
              <w:caps/>
            </w:rPr>
            <w:t>3.3.5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账户收支明细</w:t>
          </w:r>
          <w:r>
            <w:tab/>
          </w:r>
          <w:r>
            <w:fldChar w:fldCharType="begin"/>
          </w:r>
          <w:r>
            <w:instrText xml:space="preserve"> PAGEREF _Toc56088486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"_Toc56088487" </w:instrText>
          </w:r>
          <w:r>
            <w:fldChar w:fldCharType="separate"/>
          </w:r>
          <w:r>
            <w:rPr>
              <w:rStyle w:val="21"/>
              <w:caps/>
            </w:rPr>
            <w:t>3.3.6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账户活期明细</w:t>
          </w:r>
          <w:r>
            <w:tab/>
          </w:r>
          <w:r>
            <w:fldChar w:fldCharType="begin"/>
          </w:r>
          <w:r>
            <w:instrText xml:space="preserve"> PAGEREF _Toc56088487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"_Toc56088488" </w:instrText>
          </w:r>
          <w:r>
            <w:fldChar w:fldCharType="separate"/>
          </w:r>
          <w:r>
            <w:rPr>
              <w:rStyle w:val="21"/>
            </w:rPr>
            <w:t>3.4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工资管理</w:t>
          </w:r>
          <w:r>
            <w:tab/>
          </w:r>
          <w:r>
            <w:fldChar w:fldCharType="begin"/>
          </w:r>
          <w:r>
            <w:instrText xml:space="preserve"> PAGEREF _Toc56088488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"_Toc56088489" </w:instrText>
          </w:r>
          <w:r>
            <w:fldChar w:fldCharType="separate"/>
          </w:r>
          <w:r>
            <w:rPr>
              <w:rStyle w:val="21"/>
              <w:caps/>
            </w:rPr>
            <w:t>3.4.1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工资发放记录</w:t>
          </w:r>
          <w:r>
            <w:tab/>
          </w:r>
          <w:r>
            <w:fldChar w:fldCharType="begin"/>
          </w:r>
          <w:r>
            <w:instrText xml:space="preserve"> PAGEREF _Toc56088489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"_Toc56088490" </w:instrText>
          </w:r>
          <w:r>
            <w:fldChar w:fldCharType="separate"/>
          </w:r>
          <w:r>
            <w:rPr>
              <w:rStyle w:val="21"/>
              <w:caps/>
            </w:rPr>
            <w:t>3.4.2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工资发放明细表</w:t>
          </w:r>
          <w:r>
            <w:tab/>
          </w:r>
          <w:r>
            <w:fldChar w:fldCharType="begin"/>
          </w:r>
          <w:r>
            <w:instrText xml:space="preserve"> PAGEREF _Toc56088490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"_Toc56088491" </w:instrText>
          </w:r>
          <w:r>
            <w:fldChar w:fldCharType="separate"/>
          </w:r>
          <w:r>
            <w:rPr>
              <w:rStyle w:val="21"/>
            </w:rPr>
            <w:t>3.5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_Toc56088491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"_Toc56088492" </w:instrText>
          </w:r>
          <w:r>
            <w:fldChar w:fldCharType="separate"/>
          </w:r>
          <w:r>
            <w:rPr>
              <w:rStyle w:val="21"/>
              <w:caps/>
            </w:rPr>
            <w:t>3.5.1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机构管理</w:t>
          </w:r>
          <w:r>
            <w:tab/>
          </w:r>
          <w:r>
            <w:fldChar w:fldCharType="begin"/>
          </w:r>
          <w:r>
            <w:instrText xml:space="preserve"> PAGEREF _Toc56088492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"_Toc56088493" </w:instrText>
          </w:r>
          <w:r>
            <w:fldChar w:fldCharType="separate"/>
          </w:r>
          <w:r>
            <w:rPr>
              <w:rStyle w:val="21"/>
            </w:rPr>
            <w:t>3.6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汇总统计</w:t>
          </w:r>
          <w:r>
            <w:tab/>
          </w:r>
          <w:r>
            <w:fldChar w:fldCharType="begin"/>
          </w:r>
          <w:r>
            <w:instrText xml:space="preserve"> PAGEREF _Toc56088493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"_Toc56088494" </w:instrText>
          </w:r>
          <w:r>
            <w:fldChar w:fldCharType="separate"/>
          </w:r>
          <w:r>
            <w:rPr>
              <w:rStyle w:val="21"/>
              <w:caps/>
            </w:rPr>
            <w:t>3.6.1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工程统计表</w:t>
          </w:r>
          <w:r>
            <w:tab/>
          </w:r>
          <w:r>
            <w:fldChar w:fldCharType="begin"/>
          </w:r>
          <w:r>
            <w:instrText xml:space="preserve"> PAGEREF _Toc56088494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"_Toc56088495" </w:instrText>
          </w:r>
          <w:r>
            <w:fldChar w:fldCharType="separate"/>
          </w:r>
          <w:r>
            <w:rPr>
              <w:rStyle w:val="21"/>
              <w:caps/>
            </w:rPr>
            <w:t>3.6.2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企业统计表</w:t>
          </w:r>
          <w:r>
            <w:tab/>
          </w:r>
          <w:r>
            <w:fldChar w:fldCharType="begin"/>
          </w:r>
          <w:r>
            <w:instrText xml:space="preserve"> PAGEREF _Toc56088495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"_Toc56088496" </w:instrText>
          </w:r>
          <w:r>
            <w:fldChar w:fldCharType="separate"/>
          </w:r>
          <w:r>
            <w:rPr>
              <w:rStyle w:val="21"/>
              <w:caps/>
            </w:rPr>
            <w:t>3.6.3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五方主体</w:t>
          </w:r>
          <w:r>
            <w:tab/>
          </w:r>
          <w:r>
            <w:fldChar w:fldCharType="begin"/>
          </w:r>
          <w:r>
            <w:instrText xml:space="preserve"> PAGEREF _Toc56088496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"_Toc56088497" </w:instrText>
          </w:r>
          <w:r>
            <w:fldChar w:fldCharType="separate"/>
          </w:r>
          <w:r>
            <w:rPr>
              <w:rStyle w:val="21"/>
              <w:caps/>
            </w:rPr>
            <w:t>3.6.4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班组工人</w:t>
          </w:r>
          <w:r>
            <w:tab/>
          </w:r>
          <w:r>
            <w:fldChar w:fldCharType="begin"/>
          </w:r>
          <w:r>
            <w:instrText xml:space="preserve"> PAGEREF _Toc56088497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"_Toc56088498" </w:instrText>
          </w:r>
          <w:r>
            <w:fldChar w:fldCharType="separate"/>
          </w:r>
          <w:r>
            <w:rPr>
              <w:rStyle w:val="21"/>
              <w:caps/>
            </w:rPr>
            <w:t>3.6.5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经办网点统计表</w:t>
          </w:r>
          <w:r>
            <w:tab/>
          </w:r>
          <w:r>
            <w:fldChar w:fldCharType="begin"/>
          </w:r>
          <w:r>
            <w:instrText xml:space="preserve"> PAGEREF _Toc56088498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"_Toc56088499" </w:instrText>
          </w:r>
          <w:r>
            <w:fldChar w:fldCharType="separate"/>
          </w:r>
          <w:r>
            <w:rPr>
              <w:rStyle w:val="21"/>
              <w:caps/>
            </w:rPr>
            <w:t>3.6.6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开户流程</w:t>
          </w:r>
          <w:r>
            <w:tab/>
          </w:r>
          <w:r>
            <w:fldChar w:fldCharType="begin"/>
          </w:r>
          <w:r>
            <w:instrText xml:space="preserve"> PAGEREF _Toc56088499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"_Toc56088500" </w:instrText>
          </w:r>
          <w:r>
            <w:fldChar w:fldCharType="separate"/>
          </w:r>
          <w:r>
            <w:rPr>
              <w:rStyle w:val="21"/>
              <w:caps/>
            </w:rPr>
            <w:t>3.6.7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21"/>
              <w:rFonts w:hint="eastAsia"/>
            </w:rPr>
            <w:t>销户流程</w:t>
          </w:r>
          <w:r>
            <w:tab/>
          </w:r>
          <w:r>
            <w:fldChar w:fldCharType="begin"/>
          </w:r>
          <w:r>
            <w:instrText xml:space="preserve"> PAGEREF _Toc56088500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spacing w:before="120" w:after="120"/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701"/>
        <w:gridCol w:w="5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版本号</w:t>
            </w:r>
          </w:p>
        </w:tc>
        <w:tc>
          <w:tcPr>
            <w:tcW w:w="1701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更新日期</w:t>
            </w:r>
          </w:p>
        </w:tc>
        <w:tc>
          <w:tcPr>
            <w:tcW w:w="5579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V1.01</w:t>
            </w:r>
          </w:p>
        </w:tc>
        <w:tc>
          <w:tcPr>
            <w:tcW w:w="1701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2020/05/13</w:t>
            </w:r>
          </w:p>
        </w:tc>
        <w:tc>
          <w:tcPr>
            <w:tcW w:w="5579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用户/账户/工资管理、系统管理等功能的更新；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V1.02</w:t>
            </w:r>
          </w:p>
        </w:tc>
        <w:tc>
          <w:tcPr>
            <w:tcW w:w="1701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t>2020/7/29</w:t>
            </w:r>
          </w:p>
        </w:tc>
        <w:tc>
          <w:tcPr>
            <w:tcW w:w="5579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更新系统功能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V1.03</w:t>
            </w:r>
          </w:p>
        </w:tc>
        <w:tc>
          <w:tcPr>
            <w:tcW w:w="1701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t>2020/</w:t>
            </w:r>
            <w:r>
              <w:rPr>
                <w:rFonts w:hint="eastAsia"/>
              </w:rPr>
              <w:t>11</w:t>
            </w:r>
            <w:r>
              <w:t>/</w:t>
            </w:r>
            <w:r>
              <w:rPr>
                <w:rFonts w:hint="eastAsia"/>
              </w:rPr>
              <w:t>12</w:t>
            </w:r>
          </w:p>
        </w:tc>
        <w:tc>
          <w:tcPr>
            <w:tcW w:w="5579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更新工程修改等功能、更新汇总统计查询功能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V1.04</w:t>
            </w:r>
          </w:p>
        </w:tc>
        <w:tc>
          <w:tcPr>
            <w:tcW w:w="1701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t>202</w:t>
            </w:r>
            <w:r>
              <w:rPr>
                <w:rFonts w:hint="eastAsia"/>
              </w:rPr>
              <w:t>1</w:t>
            </w:r>
            <w:r>
              <w:t>/</w:t>
            </w:r>
            <w:r>
              <w:rPr>
                <w:rFonts w:hint="eastAsia"/>
              </w:rPr>
              <w:t>04</w:t>
            </w:r>
            <w:r>
              <w:t>/</w:t>
            </w:r>
            <w:r>
              <w:rPr>
                <w:rFonts w:hint="eastAsia"/>
              </w:rPr>
              <w:t>15</w:t>
            </w:r>
          </w:p>
        </w:tc>
        <w:tc>
          <w:tcPr>
            <w:tcW w:w="5579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更新访问地址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V1.06</w:t>
            </w:r>
          </w:p>
        </w:tc>
        <w:tc>
          <w:tcPr>
            <w:tcW w:w="1701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2022/6/16</w:t>
            </w:r>
          </w:p>
        </w:tc>
        <w:tc>
          <w:tcPr>
            <w:tcW w:w="5579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更新轨道交通局接口</w:t>
            </w:r>
          </w:p>
        </w:tc>
      </w:tr>
    </w:tbl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708" w:footer="708" w:gutter="0"/>
          <w:pgNumType w:fmt="numberInDash" w:start="1"/>
          <w:cols w:space="708" w:num="1"/>
          <w:titlePg/>
          <w:docGrid w:linePitch="360" w:charSpace="0"/>
        </w:sectPr>
      </w:pPr>
    </w:p>
    <w:p>
      <w:pPr>
        <w:spacing w:before="120" w:after="120"/>
        <w:rPr>
          <w:rFonts w:ascii="宋体" w:hAnsi="宋体" w:cs="宋体"/>
          <w:szCs w:val="24"/>
          <w:lang w:bidi="ar"/>
        </w:rPr>
      </w:pPr>
    </w:p>
    <w:p>
      <w:pPr>
        <w:pStyle w:val="2"/>
        <w:numPr>
          <w:ilvl w:val="0"/>
          <w:numId w:val="1"/>
        </w:numPr>
        <w:spacing w:before="120" w:after="120"/>
      </w:pPr>
      <w:bookmarkStart w:id="0" w:name="_Toc56088468"/>
      <w:r>
        <w:rPr>
          <w:rFonts w:hint="eastAsia"/>
        </w:rPr>
        <w:t>系统架构</w:t>
      </w:r>
      <w:bookmarkEnd w:id="0"/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585460" cy="2514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02" cy="25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pStyle w:val="2"/>
        <w:numPr>
          <w:ilvl w:val="0"/>
          <w:numId w:val="1"/>
        </w:numPr>
        <w:spacing w:before="120" w:after="120"/>
      </w:pPr>
      <w:bookmarkStart w:id="1" w:name="_Toc56088469"/>
      <w:r>
        <w:rPr>
          <w:rFonts w:hint="eastAsia"/>
        </w:rPr>
        <w:t>系统简介</w:t>
      </w:r>
      <w:bookmarkEnd w:id="1"/>
    </w:p>
    <w:p>
      <w:pPr>
        <w:pStyle w:val="3"/>
        <w:numPr>
          <w:ilvl w:val="1"/>
          <w:numId w:val="1"/>
        </w:numPr>
        <w:spacing w:before="120" w:after="120"/>
      </w:pPr>
      <w:bookmarkStart w:id="2" w:name="_Toc496976610"/>
      <w:bookmarkStart w:id="3" w:name="_Toc56088470"/>
      <w:r>
        <w:rPr>
          <w:rFonts w:hint="eastAsia"/>
        </w:rPr>
        <w:t>系统功能描述</w:t>
      </w:r>
      <w:bookmarkEnd w:id="2"/>
      <w:bookmarkEnd w:id="3"/>
    </w:p>
    <w:p>
      <w:pPr>
        <w:spacing w:before="120" w:after="120"/>
        <w:ind w:firstLine="424" w:firstLineChars="177"/>
      </w:pPr>
      <w:r>
        <w:rPr>
          <w:rFonts w:hint="eastAsia"/>
        </w:rPr>
        <w:t>本系统提供的功能有对企业用户和银行用户的管理、对企业信息和账户信息的查询，对工人工资发放的查询等。</w:t>
      </w:r>
    </w:p>
    <w:p>
      <w:pPr>
        <w:spacing w:before="120" w:after="120"/>
        <w:ind w:firstLine="424" w:firstLineChars="177"/>
      </w:pPr>
      <w:r>
        <w:rPr>
          <w:rFonts w:hint="eastAsia"/>
        </w:rPr>
        <w:t>本系统的使用对象为广东省佛山分行、区支行和各支行下的网点的用户。分行的用户是由系统默认提供，支行的用户是由分行创建的，而网点的用户是由所属的支行进行创建的。</w:t>
      </w:r>
    </w:p>
    <w:p>
      <w:pPr>
        <w:pStyle w:val="3"/>
        <w:numPr>
          <w:ilvl w:val="1"/>
          <w:numId w:val="1"/>
        </w:numPr>
        <w:spacing w:before="120" w:after="120"/>
      </w:pPr>
      <w:bookmarkStart w:id="4" w:name="_Toc496976611"/>
      <w:bookmarkStart w:id="5" w:name="_Toc56088471"/>
      <w:r>
        <w:rPr>
          <w:rFonts w:hint="eastAsia"/>
        </w:rPr>
        <w:t>系统用户</w:t>
      </w:r>
      <w:bookmarkEnd w:id="4"/>
      <w:bookmarkEnd w:id="5"/>
    </w:p>
    <w:p>
      <w:pPr>
        <w:spacing w:before="120" w:after="120"/>
        <w:ind w:firstLine="420"/>
      </w:pPr>
      <w:r>
        <w:rPr>
          <w:rFonts w:hint="eastAsia"/>
        </w:rPr>
        <w:t>银行用户分为分行账号、支行账号、网点账号。</w:t>
      </w:r>
    </w:p>
    <w:p>
      <w:pPr>
        <w:spacing w:before="120" w:after="120"/>
        <w:ind w:firstLine="420"/>
      </w:pPr>
      <w:r>
        <w:rPr>
          <w:rFonts w:hint="eastAsia"/>
          <w:b/>
        </w:rPr>
        <w:t>分行账号</w:t>
      </w:r>
      <w:r>
        <w:rPr>
          <w:rFonts w:hint="eastAsia"/>
        </w:rPr>
        <w:t>：即分行用户，由系统默认创建。</w:t>
      </w:r>
    </w:p>
    <w:p>
      <w:pPr>
        <w:spacing w:before="120" w:after="120"/>
        <w:ind w:firstLine="420"/>
      </w:pPr>
      <w:r>
        <w:rPr>
          <w:rFonts w:hint="eastAsia"/>
        </w:rPr>
        <w:t>分账账户可以创建支行用户，管理支行用户，查看工资专用账户，查看工资发放情况。</w:t>
      </w:r>
    </w:p>
    <w:p>
      <w:pPr>
        <w:spacing w:before="120" w:after="120"/>
        <w:ind w:firstLine="420"/>
      </w:pPr>
      <w:r>
        <w:rPr>
          <w:rFonts w:hint="eastAsia"/>
          <w:b/>
        </w:rPr>
        <w:t>支行账号</w:t>
      </w:r>
      <w:r>
        <w:rPr>
          <w:rFonts w:hint="eastAsia"/>
        </w:rPr>
        <w:t>：支行用户，由管理员创建。</w:t>
      </w:r>
    </w:p>
    <w:p>
      <w:pPr>
        <w:spacing w:before="120" w:after="120"/>
        <w:ind w:firstLine="420"/>
      </w:pPr>
      <w:r>
        <w:rPr>
          <w:rFonts w:hint="eastAsia"/>
        </w:rPr>
        <w:t>支行用户可以创建网点账号，管理网点账号，查看工资专用账户，查看拨付和工资发放情况。</w:t>
      </w:r>
    </w:p>
    <w:p>
      <w:pPr>
        <w:spacing w:before="120" w:after="120"/>
        <w:ind w:firstLine="420"/>
      </w:pPr>
      <w:r>
        <w:rPr>
          <w:rFonts w:hint="eastAsia"/>
          <w:b/>
        </w:rPr>
        <w:t>网点账号</w:t>
      </w:r>
      <w:r>
        <w:rPr>
          <w:rFonts w:hint="eastAsia"/>
        </w:rPr>
        <w:t>：网点用户，由支行账号创建。</w:t>
      </w:r>
    </w:p>
    <w:p>
      <w:pPr>
        <w:spacing w:before="120" w:after="120"/>
        <w:ind w:firstLine="420"/>
      </w:pPr>
      <w:r>
        <w:rPr>
          <w:rFonts w:hint="eastAsia"/>
        </w:rPr>
        <w:t>网点用户可以审批开户、销户，查看工资专用账户，查看拨付和工资发放情况。</w:t>
      </w:r>
    </w:p>
    <w:p>
      <w:pPr>
        <w:spacing w:before="120" w:after="120"/>
      </w:pPr>
    </w:p>
    <w:p>
      <w:pPr>
        <w:pStyle w:val="3"/>
        <w:numPr>
          <w:ilvl w:val="1"/>
          <w:numId w:val="1"/>
        </w:numPr>
        <w:spacing w:before="120" w:after="120"/>
      </w:pPr>
      <w:bookmarkStart w:id="6" w:name="_Toc496976612"/>
      <w:bookmarkStart w:id="7" w:name="_Toc56088472"/>
      <w:r>
        <w:rPr>
          <w:rFonts w:hint="eastAsia"/>
        </w:rPr>
        <w:t>系统地址</w:t>
      </w:r>
      <w:bookmarkEnd w:id="6"/>
      <w:bookmarkEnd w:id="7"/>
    </w:p>
    <w:p>
      <w:pPr>
        <w:pStyle w:val="30"/>
        <w:spacing w:before="120" w:after="120"/>
        <w:ind w:left="425" w:firstLine="0" w:firstLineChars="0"/>
      </w:pPr>
      <w:r>
        <w:rPr>
          <w:rFonts w:hint="eastAsia"/>
        </w:rPr>
        <w:t>系统的登录地址为：</w:t>
      </w:r>
      <w:r>
        <w:t>https://b.fs.</w:t>
      </w:r>
      <w:r>
        <w:rPr>
          <w:rFonts w:hint="eastAsia"/>
        </w:rPr>
        <w:t>gr</w:t>
      </w:r>
      <w:r>
        <w:t>gzfz.com/</w:t>
      </w:r>
    </w:p>
    <w:p>
      <w:pPr>
        <w:pStyle w:val="30"/>
        <w:spacing w:before="120" w:after="120"/>
        <w:ind w:left="425" w:firstLine="0" w:firstLineChars="0"/>
      </w:pPr>
    </w:p>
    <w:p>
      <w:pPr>
        <w:pStyle w:val="2"/>
        <w:numPr>
          <w:ilvl w:val="0"/>
          <w:numId w:val="1"/>
        </w:numPr>
        <w:spacing w:before="120" w:after="120"/>
      </w:pPr>
      <w:bookmarkStart w:id="8" w:name="_Toc56088473"/>
      <w:r>
        <w:rPr>
          <w:rFonts w:hint="eastAsia"/>
        </w:rPr>
        <w:t>系统功能描述</w:t>
      </w:r>
      <w:bookmarkEnd w:id="8"/>
    </w:p>
    <w:p>
      <w:pPr>
        <w:pStyle w:val="3"/>
        <w:numPr>
          <w:ilvl w:val="1"/>
          <w:numId w:val="1"/>
        </w:numPr>
        <w:spacing w:before="120" w:after="120"/>
      </w:pPr>
      <w:bookmarkStart w:id="9" w:name="_Toc56088474"/>
      <w:r>
        <w:rPr>
          <w:rFonts w:hint="eastAsia"/>
        </w:rPr>
        <w:t>登录</w:t>
      </w:r>
      <w:bookmarkEnd w:id="9"/>
    </w:p>
    <w:p>
      <w:pPr>
        <w:pStyle w:val="4"/>
        <w:numPr>
          <w:ilvl w:val="2"/>
          <w:numId w:val="1"/>
        </w:numPr>
        <w:spacing w:before="120" w:after="120"/>
      </w:pPr>
      <w:bookmarkStart w:id="10" w:name="_Toc56088475"/>
      <w:r>
        <w:rPr>
          <w:rFonts w:hint="eastAsia"/>
        </w:rPr>
        <w:t>登录</w:t>
      </w:r>
      <w:bookmarkEnd w:id="10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登录</w:t>
      </w:r>
      <w:r>
        <w:rPr>
          <w:rFonts w:hint="eastAsia" w:ascii="宋体" w:hAnsi="宋体"/>
          <w:szCs w:val="24"/>
        </w:rPr>
        <w:t>：（图4-1-1-1）在浏览器中访问系统网址，进入系统登录页。分行用户、支行用户、网点用户可以登录。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</w:t>
      </w:r>
      <w:r>
        <w:rPr>
          <w:rFonts w:ascii="宋体" w:hAnsi="宋体"/>
          <w:szCs w:val="24"/>
        </w:rPr>
        <w:t>：</w:t>
      </w:r>
      <w:r>
        <w:rPr>
          <w:rFonts w:hint="eastAsia" w:ascii="宋体" w:hAnsi="宋体"/>
          <w:szCs w:val="24"/>
        </w:rPr>
        <w:t>密码每天连续输入错误5次后，账号锁定，第二天才能再次登录。</w:t>
      </w:r>
    </w:p>
    <w:p>
      <w:pPr>
        <w:spacing w:before="120" w:after="120"/>
      </w:pPr>
      <w:r>
        <w:drawing>
          <wp:inline distT="0" distB="0" distL="0" distR="0">
            <wp:extent cx="5273040" cy="244348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25" cy="24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（图4-1-1-1）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找回密码</w:t>
      </w:r>
      <w:r>
        <w:rPr>
          <w:rFonts w:hint="eastAsia"/>
        </w:rPr>
        <w:t>：用户忘记密码时，可以通过忘记密码入口找回密码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23393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drawing>
          <wp:inline distT="0" distB="0" distL="114300" distR="114300">
            <wp:extent cx="4524375" cy="2282825"/>
            <wp:effectExtent l="0" t="0" r="0" b="3175"/>
            <wp:docPr id="112" name="图片 112" descr="找回密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找回密码页面"/>
                    <pic:cNvPicPr>
                      <a:picLocks noChangeAspect="1"/>
                    </pic:cNvPicPr>
                  </pic:nvPicPr>
                  <pic:blipFill>
                    <a:blip r:embed="rId17"/>
                    <a:srcRect l="31693" r="29551"/>
                    <a:stretch>
                      <a:fillRect/>
                    </a:stretch>
                  </pic:blipFill>
                  <pic:spPr>
                    <a:xfrm>
                      <a:off x="0" y="0"/>
                      <a:ext cx="4535546" cy="22889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20" w:after="120"/>
      </w:pPr>
      <w:bookmarkStart w:id="11" w:name="_Toc56088476"/>
      <w:r>
        <w:rPr>
          <w:rFonts w:hint="eastAsia"/>
        </w:rPr>
        <w:t>用户管理</w:t>
      </w:r>
      <w:bookmarkEnd w:id="11"/>
    </w:p>
    <w:p>
      <w:pPr>
        <w:pStyle w:val="4"/>
        <w:numPr>
          <w:ilvl w:val="2"/>
          <w:numId w:val="1"/>
        </w:numPr>
        <w:spacing w:before="120" w:after="120"/>
      </w:pPr>
      <w:bookmarkStart w:id="12" w:name="_Toc56088477"/>
      <w:r>
        <w:rPr>
          <w:rFonts w:hint="eastAsia"/>
        </w:rPr>
        <w:t>首页</w:t>
      </w:r>
      <w:bookmarkEnd w:id="12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列表：（图3-2-1-1）列表提供我的代办事项列表的显示。我的待办事项表提供标题、处理环节、到达时间、预约办理时间字段的显示，并提供了处理操作。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备注：只有网点账号才有待办列表。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处理：处理各种流程待办事项(企业开户及销户)。</w:t>
      </w:r>
    </w:p>
    <w:p>
      <w:pPr>
        <w:spacing w:before="120" w:after="120"/>
      </w:pPr>
      <w:r>
        <w:drawing>
          <wp:inline distT="0" distB="0" distL="0" distR="0">
            <wp:extent cx="5273675" cy="1057910"/>
            <wp:effectExtent l="0" t="0" r="317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54" cy="10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（图3-2-1-1）</w:t>
      </w:r>
    </w:p>
    <w:p>
      <w:pPr>
        <w:pStyle w:val="4"/>
        <w:numPr>
          <w:ilvl w:val="2"/>
          <w:numId w:val="1"/>
        </w:numPr>
        <w:spacing w:before="120" w:after="120"/>
      </w:pPr>
      <w:bookmarkStart w:id="13" w:name="_Toc56088478"/>
      <w:r>
        <w:rPr>
          <w:rFonts w:hint="eastAsia"/>
        </w:rPr>
        <w:t>企业信息</w:t>
      </w:r>
      <w:bookmarkEnd w:id="13"/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：列表提供了关键字、联系人和所在地区查询条件。关键字为企业名称企业编号模糊查询；联系人提供联系人姓名、手机号和办公电话模糊查询；并提供企业名称，企业编号，所在地区，基本户账户，基本户开户行，联系人姓名和手机号字段的显示并提供了查看详情、修改和导出操作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备注：省行才有导出功能。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3040" cy="107442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98" cy="10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：点击查看详情，可以查看企业的详细信息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4310" cy="108204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4310" cy="14192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修改</w:t>
      </w:r>
      <w:r>
        <w:rPr>
          <w:rFonts w:hint="eastAsia" w:ascii="宋体" w:hAnsi="宋体"/>
          <w:szCs w:val="24"/>
        </w:rPr>
        <w:t>：此功能可以对企业信息进行修改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2405" cy="1047115"/>
            <wp:effectExtent l="0" t="0" r="4445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64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3675" cy="1358900"/>
            <wp:effectExtent l="0" t="0" r="317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37" cy="13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14" w:name="_Toc56088479"/>
      <w:r>
        <w:rPr>
          <w:rFonts w:hint="eastAsia"/>
        </w:rPr>
        <w:t>企业用户管理</w:t>
      </w:r>
      <w:bookmarkEnd w:id="14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：（图4-2-3-1）提供了关键字、企业、状态的查询功能，关键字使用姓名、企业名称、用户名和手机号进行模糊搜索、列表提供企业名称，用户名，姓名，手机号，用户类型、状态字段的显示并提供了查看详情，导出，添加企业用户操作。</w:t>
      </w:r>
    </w:p>
    <w:p>
      <w:pPr>
        <w:spacing w:before="120" w:after="120"/>
      </w:pPr>
      <w:r>
        <w:drawing>
          <wp:inline distT="0" distB="0" distL="0" distR="0">
            <wp:extent cx="5273040" cy="1500505"/>
            <wp:effectExtent l="0" t="0" r="3810" b="444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06" cy="15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（图3-2-3-1）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：（图4-2-3-2）查看企业用户详情信息。</w:t>
      </w:r>
      <w:r>
        <w:rPr>
          <w:rFonts w:hint="eastAsia" w:ascii="宋体" w:hAnsi="宋体"/>
          <w:szCs w:val="24"/>
        </w:rPr>
        <w:tab/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3675" cy="1489075"/>
            <wp:effectExtent l="0" t="0" r="317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61" cy="1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2405" cy="116459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11" cy="11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（图3-2-3-2）</w:t>
      </w:r>
    </w:p>
    <w:p>
      <w:pPr>
        <w:spacing w:before="120" w:after="120" w:line="220" w:lineRule="atLeast"/>
        <w:jc w:val="both"/>
        <w:rPr>
          <w:b/>
        </w:rPr>
      </w:pPr>
      <w:r>
        <w:rPr>
          <w:rFonts w:hint="eastAsia"/>
          <w:b/>
          <w:bCs/>
        </w:rPr>
        <w:t>添加企业用户</w:t>
      </w:r>
      <w:r>
        <w:rPr>
          <w:rFonts w:hint="eastAsia"/>
        </w:rPr>
        <w:t>：银行用户可以通过该功能给企业创建企业用户账号。</w:t>
      </w:r>
      <w:r>
        <w:br w:type="textWrapping"/>
      </w:r>
      <w:r>
        <w:rPr>
          <w:rFonts w:hint="eastAsia"/>
          <w:b/>
        </w:rPr>
        <w:t>注意事项：</w:t>
      </w:r>
      <w:r>
        <w:rPr>
          <w:b/>
        </w:rPr>
        <w:br w:type="textWrapping"/>
      </w:r>
      <w:r>
        <w:rPr>
          <w:rFonts w:hint="eastAsia"/>
          <w:b/>
        </w:rPr>
        <w:t>1.网点需明确清楚企业注册的工程所属住建局或交通轨道局</w:t>
      </w:r>
    </w:p>
    <w:p>
      <w:pPr>
        <w:spacing w:before="120" w:after="120" w:line="220" w:lineRule="atLeast"/>
        <w:jc w:val="both"/>
        <w:rPr>
          <w:b/>
        </w:rPr>
      </w:pPr>
      <w:r>
        <w:rPr>
          <w:rFonts w:hint="eastAsia"/>
          <w:b/>
        </w:rPr>
        <w:t>2.网点录入企业信息后，会自动生成企业登录名和企业登录密码</w:t>
      </w:r>
    </w:p>
    <w:p>
      <w:pPr>
        <w:spacing w:before="120" w:after="120" w:line="220" w:lineRule="atLeast"/>
        <w:jc w:val="both"/>
        <w:rPr>
          <w:b/>
        </w:rPr>
      </w:pPr>
      <w:r>
        <w:rPr>
          <w:rFonts w:hint="eastAsia"/>
          <w:b/>
        </w:rPr>
        <w:t>3.网点录入工程编码和企业名称后，会自动读取到工程名称、承包类型等信息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3675" cy="1555750"/>
            <wp:effectExtent l="0" t="0" r="3175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29" cy="1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23590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</w:p>
    <w:p>
      <w:pPr>
        <w:pStyle w:val="4"/>
        <w:numPr>
          <w:ilvl w:val="2"/>
          <w:numId w:val="1"/>
        </w:numPr>
        <w:spacing w:before="120" w:after="120"/>
      </w:pPr>
      <w:bookmarkStart w:id="15" w:name="_Toc56088480"/>
      <w:r>
        <w:rPr>
          <w:rFonts w:hint="eastAsia"/>
        </w:rPr>
        <w:t>银行用户管理</w:t>
      </w:r>
      <w:bookmarkEnd w:id="15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:(图3-2-4-1)提供了关键字、所属支行（管理员）、所属网点（支行账号）、用户类型和状态的查询功能，关键字使用支行姓名、用户名、姓名、联系电话进行模糊搜索，列表提供用户名，姓名，联系电话，所属支行，所在地址，用户类型、状态字段的显示并提供了查看详情，修改，导出操作。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1．所属支行查询只有管理员才能使用；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2．所属网点查询只有支行账号才能使用；</w:t>
      </w:r>
    </w:p>
    <w:p>
      <w:pPr>
        <w:spacing w:before="120" w:after="120"/>
      </w:pPr>
      <w:r>
        <w:drawing>
          <wp:inline distT="0" distB="0" distL="0" distR="0">
            <wp:extent cx="5274310" cy="105473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（图3-2-4-1）</w:t>
      </w:r>
    </w:p>
    <w:p>
      <w:pPr>
        <w:spacing w:before="120" w:after="120" w:line="220" w:lineRule="atLeast"/>
        <w:jc w:val="center"/>
      </w:pP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（图3-2-4-2）查看银行网点用户详情信息。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1039495"/>
            <wp:effectExtent l="0" t="0" r="2540" b="825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0471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（图3-2-4-2）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修改</w:t>
      </w:r>
      <w:r>
        <w:rPr>
          <w:rFonts w:hint="eastAsia" w:ascii="宋体" w:hAnsi="宋体"/>
          <w:szCs w:val="24"/>
        </w:rPr>
        <w:t>（图4-2-4-3）修改用户信息。</w:t>
      </w:r>
      <w:r>
        <w:rPr>
          <w:rFonts w:hint="eastAsia" w:ascii="宋体" w:hAnsi="宋体"/>
          <w:szCs w:val="24"/>
        </w:rPr>
        <w:tab/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备注：系统管理员只可修改支行用户，支行用户只可修改网点用户。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968375"/>
            <wp:effectExtent l="0" t="0" r="2540" b="317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1118235"/>
            <wp:effectExtent l="0" t="0" r="2540" b="571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rPr>
          <w:rFonts w:hint="eastAsia"/>
        </w:rPr>
        <w:t>（图4-2-4-3）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pStyle w:val="3"/>
        <w:numPr>
          <w:ilvl w:val="1"/>
          <w:numId w:val="1"/>
        </w:numPr>
        <w:spacing w:before="120" w:after="120"/>
      </w:pPr>
      <w:bookmarkStart w:id="16" w:name="_Toc56088481"/>
      <w:r>
        <w:rPr>
          <w:rFonts w:hint="eastAsia"/>
        </w:rPr>
        <w:t>账户管理</w:t>
      </w:r>
      <w:bookmarkEnd w:id="16"/>
    </w:p>
    <w:p>
      <w:pPr>
        <w:pStyle w:val="4"/>
        <w:numPr>
          <w:ilvl w:val="2"/>
          <w:numId w:val="1"/>
        </w:numPr>
        <w:spacing w:before="120" w:after="120"/>
      </w:pPr>
      <w:bookmarkStart w:id="17" w:name="_Toc56088482"/>
      <w:r>
        <w:rPr>
          <w:rFonts w:hint="eastAsia"/>
        </w:rPr>
        <w:t>账户信息</w:t>
      </w:r>
      <w:bookmarkEnd w:id="17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（图3-3-1-1）提供关键字、开户类型、标记和复审时间查询，关键字包含了账号、工程编码、工程名称、经办人和企业名称的模糊查询。列表提供了企业名称、账户名称、账号、复审日期、经办人、联系方式、工程编码、工程名称和余额字段显示，并提供了详情、修改、修改项目编号、流程跟踪、更新余额和导出的操作。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</w:t>
      </w:r>
      <w:r>
        <w:rPr>
          <w:rFonts w:hint="eastAsia" w:ascii="宋体" w:hAnsi="宋体"/>
          <w:szCs w:val="24"/>
        </w:rPr>
        <w:tab/>
      </w:r>
      <w:r>
        <w:rPr>
          <w:rFonts w:hint="eastAsia" w:ascii="宋体" w:hAnsi="宋体"/>
          <w:szCs w:val="24"/>
        </w:rPr>
        <w:t>除了详情外，其他操作在更多操作下拉框中。</w:t>
      </w:r>
    </w:p>
    <w:p>
      <w:pPr>
        <w:spacing w:before="120" w:after="120"/>
      </w:pPr>
      <w:r>
        <w:drawing>
          <wp:inline distT="0" distB="0" distL="0" distR="0">
            <wp:extent cx="5274310" cy="19469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（图3-3-1-1）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省行账号提供标记和取消标记功能</w:t>
      </w:r>
      <w:r>
        <w:rPr>
          <w:rFonts w:hint="eastAsia"/>
        </w:rPr>
        <w:t>，只有标记的工程才能发放工资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16560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drawing>
          <wp:inline distT="0" distB="0" distL="114300" distR="114300">
            <wp:extent cx="3043555" cy="1790700"/>
            <wp:effectExtent l="0" t="0" r="4445" b="0"/>
            <wp:docPr id="54" name="图片 54" descr="银行账户信息标记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银行账户信息标记页 (2)"/>
                    <pic:cNvPicPr>
                      <a:picLocks noChangeAspect="1"/>
                    </pic:cNvPicPr>
                  </pic:nvPicPr>
                  <pic:blipFill>
                    <a:blip r:embed="rId36"/>
                    <a:srcRect l="35030" t="12037" r="35741"/>
                    <a:stretch>
                      <a:fillRect/>
                    </a:stretch>
                  </pic:blipFill>
                  <pic:spPr>
                    <a:xfrm>
                      <a:off x="0" y="0"/>
                      <a:ext cx="3051697" cy="17954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</w:rPr>
        <w:t>取消标记</w:t>
      </w:r>
      <w:r>
        <w:rPr>
          <w:rFonts w:hint="eastAsia"/>
        </w:rPr>
        <w:t>：可对已经标记的工程取消标记，取消标记后无法工资发放；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3675" cy="1653540"/>
            <wp:effectExtent l="0" t="0" r="317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07" cy="16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drawing>
          <wp:inline distT="0" distB="0" distL="114300" distR="114300">
            <wp:extent cx="3333750" cy="1421130"/>
            <wp:effectExtent l="0" t="0" r="0" b="7620"/>
            <wp:docPr id="117" name="图片 117" descr="取消标记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取消标记也"/>
                    <pic:cNvPicPr>
                      <a:picLocks noChangeAspect="1"/>
                    </pic:cNvPicPr>
                  </pic:nvPicPr>
                  <pic:blipFill>
                    <a:blip r:embed="rId38"/>
                    <a:srcRect l="37726" t="12832" r="37726" b="12745"/>
                    <a:stretch>
                      <a:fillRect/>
                    </a:stretch>
                  </pic:blipFill>
                  <pic:spPr>
                    <a:xfrm>
                      <a:off x="0" y="0"/>
                      <a:ext cx="3330944" cy="142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导出</w:t>
      </w:r>
      <w:r>
        <w:rPr>
          <w:rFonts w:hint="eastAsia"/>
        </w:rPr>
        <w:t>（图3-3-1-2）：导出账户信息，可导出工程账户信息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3040" cy="1080135"/>
            <wp:effectExtent l="0" t="0" r="381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14" cy="10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（图3-3-1-2）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：查看开户详情，点击详情可以显示开户详情（图3-3-1-3）。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2405" cy="988695"/>
            <wp:effectExtent l="0" t="0" r="444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07" cy="98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3675" cy="722058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6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（图3-3-1-3）</w:t>
      </w: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</w:pPr>
      <w:r>
        <w:rPr>
          <w:rFonts w:hint="eastAsia"/>
          <w:b/>
          <w:bCs/>
        </w:rPr>
        <w:t>修改</w:t>
      </w:r>
      <w:r>
        <w:rPr>
          <w:rFonts w:hint="eastAsia"/>
        </w:rPr>
        <w:t>（图3-3-1-6）开户成功后，网点可修改工程的基本信息；</w:t>
      </w:r>
      <w:r>
        <w:t xml:space="preserve"> </w:t>
      </w:r>
      <w:r>
        <w:br w:type="textWrapping"/>
      </w:r>
      <w:r>
        <w:rPr>
          <w:rFonts w:hint="eastAsia"/>
        </w:rPr>
        <w:t>备注：网点才能修改，修改完成后进行保存；企业可重新提供管理协议；</w:t>
      </w:r>
      <w:r>
        <w:br w:type="textWrapping"/>
      </w:r>
      <w:r>
        <w:drawing>
          <wp:inline distT="0" distB="0" distL="0" distR="0">
            <wp:extent cx="5273675" cy="1437005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63" cy="14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</w:rPr>
        <w:t>企业信息</w:t>
      </w:r>
      <w:r>
        <w:rPr>
          <w:rFonts w:hint="eastAsia"/>
        </w:rPr>
        <w:t>：法人手机号、法人名称、基本开户行、基本户账号、所属区域及备注；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3675" cy="141224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67" cy="1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rPr>
          <w:rFonts w:hint="eastAsia"/>
          <w:b/>
        </w:rPr>
        <w:t>联系人信息</w:t>
      </w:r>
      <w:r>
        <w:rPr>
          <w:rFonts w:hint="eastAsia"/>
        </w:rPr>
        <w:t>：姓名、手机号、身份证：</w:t>
      </w:r>
      <w:r>
        <w:br w:type="textWrapping"/>
      </w:r>
      <w:r>
        <w:drawing>
          <wp:inline distT="0" distB="0" distL="0" distR="0">
            <wp:extent cx="5274310" cy="7931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b/>
        </w:rPr>
        <w:t>财务员信息：</w:t>
      </w:r>
      <w:r>
        <w:rPr>
          <w:rFonts w:hint="eastAsia"/>
        </w:rPr>
        <w:t>姓名、手机号、办公电话、传真号码、电子邮箱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936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</w:rPr>
        <w:t>工程信息</w:t>
      </w:r>
      <w:r>
        <w:rPr>
          <w:rFonts w:hint="eastAsia"/>
        </w:rPr>
        <w:t>：建设地址、工程类别、工程款总额、合同造价、建设单位账户名称；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3081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  <w:r>
        <w:rPr>
          <w:rFonts w:hint="eastAsia"/>
          <w:b/>
          <w:bCs/>
        </w:rPr>
        <w:t>修改项目编号</w:t>
      </w:r>
      <w:r>
        <w:rPr>
          <w:rFonts w:hint="eastAsia"/>
        </w:rPr>
        <w:t>（图3-3-1-6）修改项目编号，主要修改项目编号或产品合约编号。</w:t>
      </w:r>
    </w:p>
    <w:p>
      <w:pPr>
        <w:spacing w:before="120" w:after="120" w:line="220" w:lineRule="atLeast"/>
      </w:pPr>
      <w:r>
        <w:rPr>
          <w:rFonts w:hint="eastAsia"/>
        </w:rPr>
        <w:t>备注：网点用户才能修改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4287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4744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修改专用账户上报信息</w:t>
      </w:r>
      <w:r>
        <w:rPr>
          <w:rFonts w:hint="eastAsia"/>
        </w:rPr>
        <w:t>（图3-3-1-6）主要修改专户账户名、备注。</w:t>
      </w:r>
    </w:p>
    <w:p>
      <w:pPr>
        <w:spacing w:before="120" w:after="120" w:line="220" w:lineRule="atLeast"/>
      </w:pPr>
      <w:r>
        <w:rPr>
          <w:rFonts w:hint="eastAsia"/>
        </w:rPr>
        <w:t>备注：网点用户才能修改</w:t>
      </w:r>
    </w:p>
    <w:p>
      <w:pPr>
        <w:spacing w:before="120" w:after="120" w:line="220" w:lineRule="atLeast"/>
      </w:pPr>
      <w:r>
        <w:drawing>
          <wp:inline distT="0" distB="0" distL="0" distR="0">
            <wp:extent cx="5273040" cy="141478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33" cy="14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29851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（图3-3-1-6）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更新余额</w:t>
      </w:r>
      <w:r>
        <w:rPr>
          <w:rFonts w:hint="eastAsia"/>
        </w:rPr>
        <w:t>：通过该功能对账户余额进行更新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3675" cy="1751330"/>
            <wp:effectExtent l="0" t="0" r="317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11" cy="17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1770" cy="932815"/>
            <wp:effectExtent l="0" t="0" r="5080" b="63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40" cy="9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流程跟踪</w:t>
      </w:r>
      <w:r>
        <w:rPr>
          <w:rFonts w:hint="eastAsia"/>
        </w:rPr>
        <w:t>：可对专户的流程进行跟踪及查看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3675" cy="1760220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10" cy="17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drawing>
          <wp:inline distT="0" distB="0" distL="0" distR="0">
            <wp:extent cx="5273675" cy="1661160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78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打印开户回执</w:t>
      </w:r>
      <w:r>
        <w:rPr>
          <w:rFonts w:hint="eastAsia"/>
        </w:rPr>
        <w:t>：可对专户的开户回执打印，并提供给企业；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17627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打印开户审核清单</w:t>
      </w:r>
      <w:r>
        <w:rPr>
          <w:rFonts w:hint="eastAsia"/>
        </w:rPr>
        <w:t>：可对专户的审核清单进行打印，并提供给企业；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177736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20" w:after="120"/>
      </w:pPr>
      <w:bookmarkStart w:id="18" w:name="_Toc56088483"/>
      <w:r>
        <w:rPr>
          <w:rFonts w:hint="eastAsia"/>
        </w:rPr>
        <w:t>正常开户</w:t>
      </w:r>
      <w:bookmarkEnd w:id="18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开户初审</w:t>
      </w:r>
      <w:r>
        <w:rPr>
          <w:rFonts w:hint="eastAsia" w:ascii="宋体" w:hAnsi="宋体"/>
          <w:szCs w:val="24"/>
        </w:rPr>
        <w:t>(图3-3-2-1)网点用户进行开户初审，提供通过、驳回操作，驳回后返回给申请人。</w:t>
      </w:r>
      <w:r>
        <w:rPr>
          <w:rFonts w:hint="eastAsia" w:ascii="宋体" w:hAnsi="宋体"/>
          <w:szCs w:val="24"/>
        </w:rPr>
        <w:tab/>
      </w:r>
      <w:r>
        <w:rPr>
          <w:rFonts w:hint="eastAsia" w:ascii="宋体" w:hAnsi="宋体"/>
          <w:szCs w:val="24"/>
        </w:rPr>
        <w:t>当驳回时需要填写驳回原因，提供预约开户时间必填项。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3675" cy="957580"/>
            <wp:effectExtent l="0" t="0" r="3175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63" cy="9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初审时：网点需要核对开户界面中工程信息的行政区划；</w:t>
      </w:r>
    </w:p>
    <w:p>
      <w:pPr>
        <w:spacing w:before="120" w:after="120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根据工程信息，对工程的所属行政区划一定要选择正确；</w:t>
      </w:r>
    </w:p>
    <w:p>
      <w:pPr>
        <w:spacing w:before="120" w:after="120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在线下开户时，不同的行政区划，新一代系统中参数设置不一样；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114300" distR="114300">
            <wp:extent cx="4800600" cy="684276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GoBack"/>
      <w:bookmarkEnd w:id="36"/>
    </w:p>
    <w:p>
      <w:pPr>
        <w:spacing w:before="120" w:after="120" w:line="220" w:lineRule="atLeast"/>
        <w:jc w:val="center"/>
      </w:pPr>
      <w:r>
        <w:rPr>
          <w:rFonts w:hint="eastAsia"/>
        </w:rPr>
        <w:t>（图3-3-2-1）</w:t>
      </w:r>
    </w:p>
    <w:p>
      <w:pPr>
        <w:spacing w:before="120" w:after="120" w:line="220" w:lineRule="atLeast"/>
        <w:jc w:val="center"/>
      </w:pP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开户复审</w:t>
      </w:r>
      <w:r>
        <w:rPr>
          <w:rFonts w:hint="eastAsia" w:ascii="宋体" w:hAnsi="宋体"/>
          <w:szCs w:val="24"/>
        </w:rPr>
        <w:t>:(图4-3-2-2)网点用户进行开户复审，提供通过、驳回操作，驳回后返回给申请人。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备注：文件上传格式支持doc、docx、xls、xlsx、ppt、pptx、mpp、pdf（下同）。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3040" cy="1155700"/>
            <wp:effectExtent l="0" t="0" r="3810" b="635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96" cy="115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</w:p>
    <w:p>
      <w:pPr>
        <w:spacing w:before="120" w:after="120"/>
      </w:pPr>
      <w:r>
        <w:drawing>
          <wp:inline distT="0" distB="0" distL="0" distR="0">
            <wp:extent cx="4521835" cy="80270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47" cy="80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（图4-3-2-2）</w:t>
      </w:r>
    </w:p>
    <w:p>
      <w:pPr>
        <w:pStyle w:val="4"/>
        <w:numPr>
          <w:ilvl w:val="2"/>
          <w:numId w:val="1"/>
        </w:numPr>
        <w:spacing w:before="120" w:after="120"/>
      </w:pPr>
      <w:bookmarkStart w:id="19" w:name="_Toc56088484"/>
      <w:r>
        <w:rPr>
          <w:rFonts w:hint="eastAsia"/>
        </w:rPr>
        <w:t>正常销户</w:t>
      </w:r>
      <w:bookmarkEnd w:id="19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销户初审</w:t>
      </w:r>
      <w:r>
        <w:rPr>
          <w:rFonts w:hint="eastAsia" w:ascii="宋体" w:hAnsi="宋体"/>
          <w:szCs w:val="24"/>
        </w:rPr>
        <w:t>：（图3-3-3-1）网点用户进行正常销户初审，提供通过、驳回操作，驳回后返回给申请人。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1117600"/>
            <wp:effectExtent l="0" t="0" r="2540" b="635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  <w:r>
        <w:rPr>
          <w:rFonts w:hint="eastAsia"/>
        </w:rPr>
        <w:drawing>
          <wp:inline distT="0" distB="0" distL="114300" distR="114300">
            <wp:extent cx="5342890" cy="3197860"/>
            <wp:effectExtent l="0" t="0" r="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64" cy="31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（图3-3-3-1）</w:t>
      </w:r>
    </w:p>
    <w:p>
      <w:pPr>
        <w:spacing w:before="120" w:after="120" w:line="220" w:lineRule="atLeast"/>
        <w:rPr>
          <w:rFonts w:ascii="宋体" w:hAnsi="宋体"/>
        </w:rPr>
      </w:pPr>
      <w:r>
        <w:rPr>
          <w:rFonts w:hint="eastAsia" w:ascii="宋体" w:hAnsi="宋体"/>
          <w:b/>
          <w:bCs/>
        </w:rPr>
        <w:t>销户复审</w:t>
      </w:r>
      <w:r>
        <w:rPr>
          <w:rFonts w:hint="eastAsia" w:ascii="宋体" w:hAnsi="宋体"/>
        </w:rPr>
        <w:t>（图3-3-3-2）网点用户进行</w:t>
      </w:r>
      <w:r>
        <w:rPr>
          <w:rFonts w:hint="eastAsia" w:ascii="宋体" w:hAnsi="宋体"/>
          <w:szCs w:val="24"/>
        </w:rPr>
        <w:t>正常销户</w:t>
      </w:r>
      <w:r>
        <w:rPr>
          <w:rFonts w:hint="eastAsia" w:ascii="宋体" w:hAnsi="宋体"/>
        </w:rPr>
        <w:t>复审，提供通过、驳回操作，驳回后返回给申请人。</w:t>
      </w:r>
    </w:p>
    <w:p>
      <w:pPr>
        <w:spacing w:before="120" w:after="120" w:line="220" w:lineRule="atLeast"/>
        <w:rPr>
          <w:rFonts w:ascii="宋体" w:hAnsi="宋体"/>
        </w:rPr>
      </w:pPr>
      <w:r>
        <w:rPr>
          <w:rFonts w:hint="eastAsia" w:ascii="宋体" w:hAnsi="宋体"/>
        </w:rPr>
        <w:tab/>
      </w:r>
      <w:r>
        <w:drawing>
          <wp:inline distT="0" distB="0" distL="0" distR="0">
            <wp:extent cx="5274310" cy="1117600"/>
            <wp:effectExtent l="0" t="0" r="2540" b="635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drawing>
          <wp:inline distT="0" distB="0" distL="114300" distR="114300">
            <wp:extent cx="5250180" cy="4315460"/>
            <wp:effectExtent l="0" t="0" r="7620" b="889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59" cy="43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（图4-3-4-2）</w:t>
      </w: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20" w:name="_Toc56088485"/>
      <w:r>
        <w:rPr>
          <w:rFonts w:hint="eastAsia"/>
        </w:rPr>
        <w:t>销户信息</w:t>
      </w:r>
      <w:bookmarkEnd w:id="20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提供关键字、开户类型、开户复审日期，关键字包含了账号、工程编码、工程名称、经办人和企业名称的模糊查询。列表提供了企业名称、账户名称、账户、开户复审日期、经办人、联系方式、工程编码、工程名称和余额字段显示，并提供了查看详情、流程跟踪和导出的操作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</w:t>
      </w:r>
      <w:r>
        <w:rPr>
          <w:rFonts w:hint="eastAsia" w:ascii="宋体" w:hAnsi="宋体"/>
          <w:szCs w:val="24"/>
        </w:rPr>
        <w:tab/>
      </w:r>
      <w:r>
        <w:rPr>
          <w:rFonts w:hint="eastAsia" w:ascii="宋体" w:hAnsi="宋体"/>
          <w:szCs w:val="24"/>
        </w:rPr>
        <w:t>除了详情外，其他操作在更多操作下拉框中。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648325" cy="135128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57" cy="13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：点击详情，可以查看销户详情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114300" distR="114300">
            <wp:extent cx="5182235" cy="1257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"/>
                    <a:stretch>
                      <a:fillRect/>
                    </a:stretch>
                  </pic:blipFill>
                  <pic:spPr>
                    <a:xfrm>
                      <a:off x="0" y="0"/>
                      <a:ext cx="5180992" cy="12569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流程跟踪</w:t>
      </w:r>
      <w:r>
        <w:rPr>
          <w:rFonts w:hint="eastAsia" w:ascii="宋体" w:hAnsi="宋体"/>
          <w:szCs w:val="24"/>
        </w:rPr>
        <w:t>：可以查看流程详情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16525" cy="1352550"/>
            <wp:effectExtent l="0" t="0" r="317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449" cy="135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21" w:name="_Toc56088486"/>
      <w:r>
        <w:rPr>
          <w:rFonts w:hint="eastAsia"/>
        </w:rPr>
        <w:t>账户收支明细</w:t>
      </w:r>
      <w:bookmarkEnd w:id="21"/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提供工程名称，账号，姓名和交易类型查询，且提供了账户、交易时间、交易金额、明细类型、对方账户名称、对方账号、对方开户行号、对方开户行名、银行唯一标识编码、账户余额和备注字段显示和导出按钮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备注：必须要选择工程才有数据显示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     字体为绿色的为收入，红色的为异常退款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4310" cy="1235710"/>
            <wp:effectExtent l="0" t="0" r="2540" b="254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导出</w:t>
      </w:r>
      <w:r>
        <w:rPr>
          <w:rFonts w:hint="eastAsia" w:ascii="宋体" w:hAnsi="宋体"/>
          <w:szCs w:val="24"/>
        </w:rPr>
        <w:t>：可以将查询的工程情况执行导出操作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4310" cy="1043305"/>
            <wp:effectExtent l="0" t="0" r="2540" b="444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22" w:name="_Toc56088487"/>
      <w:r>
        <w:rPr>
          <w:rFonts w:hint="eastAsia"/>
        </w:rPr>
        <w:t>账户活期明细</w:t>
      </w:r>
      <w:bookmarkEnd w:id="22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列表提供账号和类别查询，且提供了账号、余额、可用余额、冻结余额、是否有权限查询余额、开户时间、销户时间、更新时间字段显示和账户流水明细、导出的操作。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972185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导出</w:t>
      </w:r>
      <w:r>
        <w:rPr>
          <w:rFonts w:hint="eastAsia" w:ascii="宋体" w:hAnsi="宋体"/>
          <w:szCs w:val="24"/>
        </w:rPr>
        <w:t>：可以将线下开户数据导出为Excel表格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909955"/>
            <wp:effectExtent l="0" t="0" r="2540" b="444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账户流水明细</w:t>
      </w:r>
      <w:r>
        <w:rPr>
          <w:rFonts w:hint="eastAsia" w:ascii="宋体" w:hAnsi="宋体"/>
          <w:szCs w:val="24"/>
        </w:rPr>
        <w:t>：查看当前账户的流水明细。</w:t>
      </w:r>
      <w:r>
        <w:drawing>
          <wp:inline distT="0" distB="0" distL="0" distR="0">
            <wp:extent cx="5274310" cy="937895"/>
            <wp:effectExtent l="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89916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jc w:val="center"/>
        <w:rPr>
          <w:rFonts w:ascii="宋体" w:hAnsi="宋体"/>
          <w:szCs w:val="24"/>
        </w:rPr>
      </w:pP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pStyle w:val="3"/>
        <w:numPr>
          <w:ilvl w:val="1"/>
          <w:numId w:val="1"/>
        </w:numPr>
        <w:spacing w:before="120" w:after="120"/>
      </w:pPr>
      <w:bookmarkStart w:id="23" w:name="_Toc56088488"/>
      <w:r>
        <w:rPr>
          <w:rFonts w:hint="eastAsia"/>
        </w:rPr>
        <w:t>工资管理</w:t>
      </w:r>
      <w:bookmarkEnd w:id="23"/>
    </w:p>
    <w:p>
      <w:pPr>
        <w:pStyle w:val="4"/>
        <w:numPr>
          <w:ilvl w:val="2"/>
          <w:numId w:val="1"/>
        </w:numPr>
        <w:spacing w:before="120" w:after="120"/>
      </w:pPr>
      <w:bookmarkStart w:id="24" w:name="_Toc56088489"/>
      <w:r>
        <w:rPr>
          <w:rFonts w:hint="eastAsia"/>
        </w:rPr>
        <w:t>工资发放记录</w:t>
      </w:r>
      <w:bookmarkEnd w:id="24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列表:（图3-4-1-1）提供工程名称、关键字、交易状态、工程名称和月份的查询功能，列表提供班组、工程名称、工资月份、审核人、到账总金额、交易状态、发放时间、</w:t>
      </w:r>
      <w:r>
        <w:rPr>
          <w:rFonts w:hint="eastAsia"/>
          <w:szCs w:val="24"/>
        </w:rPr>
        <w:t>发放人数、成功人数、失败人数</w:t>
      </w:r>
      <w:r>
        <w:rPr>
          <w:rFonts w:hint="eastAsia" w:ascii="宋体" w:hAnsi="宋体"/>
          <w:szCs w:val="24"/>
        </w:rPr>
        <w:t>字段的显示并提供查看详情、导出的操作。</w:t>
      </w:r>
    </w:p>
    <w:p>
      <w:pPr>
        <w:spacing w:before="120" w:after="120"/>
      </w:pPr>
      <w:r>
        <w:drawing>
          <wp:inline distT="0" distB="0" distL="0" distR="0">
            <wp:extent cx="5272405" cy="902335"/>
            <wp:effectExtent l="0" t="0" r="4445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539" cy="9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（图3-4-1-1）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：（图3-4-1-2）查看工资发放详情。</w:t>
      </w:r>
      <w:r>
        <w:rPr>
          <w:rFonts w:hint="eastAsia" w:ascii="宋体" w:hAnsi="宋体"/>
          <w:szCs w:val="24"/>
        </w:rPr>
        <w:tab/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1770" cy="647700"/>
            <wp:effectExtent l="0" t="0" r="508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28" cy="6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3675" cy="1770380"/>
            <wp:effectExtent l="0" t="0" r="317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（图3-4-1-2）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导出</w:t>
      </w:r>
      <w:r>
        <w:rPr>
          <w:rFonts w:hint="eastAsia" w:ascii="宋体" w:hAnsi="宋体"/>
          <w:szCs w:val="24"/>
        </w:rPr>
        <w:t>：（图3-4-1-3）将工资发放记录导出execl。（单条记录导出或导出多条）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2405" cy="784860"/>
            <wp:effectExtent l="0" t="0" r="4445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70" cy="78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（图3-4-1-3）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25" w:name="_Toc56088490"/>
      <w:r>
        <w:rPr>
          <w:rFonts w:hint="eastAsia"/>
        </w:rPr>
        <w:t>工资发放明细表</w:t>
      </w:r>
      <w:bookmarkEnd w:id="25"/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列表：提供根据关键字、状态、实发金额区间、发放时间和月份查询，提供专用账户号、工程、姓名、工资卡号、工资卡开户行名称、月份、发放时间、实发金额、状态和失败原因字段的显示和导出操作。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3040" cy="1233805"/>
            <wp:effectExtent l="0" t="0" r="3810" b="444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66" cy="12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</w:p>
    <w:p>
      <w:pPr>
        <w:spacing w:before="120" w:after="120" w:line="220" w:lineRule="atLeast"/>
        <w:jc w:val="center"/>
      </w:pPr>
    </w:p>
    <w:p>
      <w:pPr>
        <w:pStyle w:val="3"/>
        <w:numPr>
          <w:ilvl w:val="1"/>
          <w:numId w:val="1"/>
        </w:numPr>
        <w:spacing w:before="120" w:after="120"/>
      </w:pPr>
      <w:bookmarkStart w:id="26" w:name="_Toc56088491"/>
      <w:r>
        <w:rPr>
          <w:rFonts w:hint="eastAsia"/>
        </w:rPr>
        <w:t>系统管理</w:t>
      </w:r>
      <w:bookmarkEnd w:id="26"/>
    </w:p>
    <w:p>
      <w:pPr>
        <w:pStyle w:val="4"/>
        <w:numPr>
          <w:ilvl w:val="2"/>
          <w:numId w:val="1"/>
        </w:numPr>
        <w:spacing w:before="120" w:after="120"/>
      </w:pPr>
      <w:bookmarkStart w:id="27" w:name="_Toc56088492"/>
      <w:r>
        <w:rPr>
          <w:rFonts w:hint="eastAsia"/>
        </w:rPr>
        <w:t>机构管理</w:t>
      </w:r>
      <w:bookmarkEnd w:id="27"/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列表：提供根据关键字、机构级别、区域查询，关键字包含了机构名称、机构编码、联系人和联系电话模糊查询；列表提供机构名称，机构编码，机构级别，联系人，联系电话，所在区域，地址字段的显示并提供查看详情、修改、删除、添加和导出的操作。</w:t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备注：修改、删除、添加操作只有佛山分行和支行用户可以操作。</w:t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备注：佛山分行用户操作支行，支行用户操作网点。</w:t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1321435"/>
            <wp:effectExtent l="0" t="0" r="254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详情</w:t>
      </w:r>
      <w:r>
        <w:rPr>
          <w:rFonts w:hint="eastAsia" w:ascii="宋体" w:hAnsi="宋体" w:cs="Times New Roman"/>
          <w:szCs w:val="24"/>
          <w:lang w:bidi="ar"/>
        </w:rPr>
        <w:t>：可以查看机构详情</w:t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906780"/>
            <wp:effectExtent l="0" t="0" r="2540" b="762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156718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导出</w:t>
      </w:r>
      <w:r>
        <w:rPr>
          <w:rFonts w:hint="eastAsia" w:ascii="宋体" w:hAnsi="宋体" w:cs="Times New Roman"/>
          <w:szCs w:val="24"/>
          <w:lang w:bidi="ar"/>
        </w:rPr>
        <w:t>：可以将机构信息导出</w:t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918845"/>
            <wp:effectExtent l="0" t="0" r="254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  <w:rPr>
          <w:rFonts w:ascii="宋体" w:hAnsi="宋体" w:cs="Times New Roman"/>
          <w:szCs w:val="24"/>
          <w:lang w:bidi="ar"/>
        </w:rPr>
      </w:pPr>
    </w:p>
    <w:p>
      <w:pPr>
        <w:pStyle w:val="3"/>
        <w:numPr>
          <w:ilvl w:val="1"/>
          <w:numId w:val="1"/>
        </w:numPr>
        <w:spacing w:before="120" w:after="120"/>
      </w:pPr>
      <w:bookmarkStart w:id="28" w:name="_Toc56088493"/>
      <w:r>
        <w:rPr>
          <w:rFonts w:hint="eastAsia"/>
        </w:rPr>
        <w:t>汇总统计</w:t>
      </w:r>
      <w:bookmarkEnd w:id="28"/>
    </w:p>
    <w:p>
      <w:pPr>
        <w:pStyle w:val="4"/>
        <w:numPr>
          <w:ilvl w:val="2"/>
          <w:numId w:val="1"/>
        </w:numPr>
        <w:spacing w:before="120" w:after="120"/>
      </w:pPr>
      <w:bookmarkStart w:id="29" w:name="_Toc56088494"/>
      <w:r>
        <w:rPr>
          <w:rFonts w:hint="eastAsia"/>
        </w:rPr>
        <w:t>工程统计表</w:t>
      </w:r>
      <w:bookmarkEnd w:id="29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列表：提供根据关键字、承包类型、状态、在线开户日期查询，关键字包含了工程名称、工程编码、企业名称和账户模糊查询；列表提供工程名称，工程编码，企业名称，承包类型，账户，在线开户日期，状态字段的显示并提供查看详情和导出的操作。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3675" cy="1224280"/>
            <wp:effectExtent l="0" t="0" r="3175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57" cy="122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20" w:after="120"/>
      </w:pPr>
      <w:bookmarkStart w:id="30" w:name="_Toc56088495"/>
      <w:r>
        <w:rPr>
          <w:rFonts w:hint="eastAsia"/>
        </w:rPr>
        <w:t>企业统计表</w:t>
      </w:r>
      <w:bookmarkEnd w:id="30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列表：提供根据关键字、经济性质、注册资本、所在地区、成立时间查询，关键字包含了企业编码、企业名称模糊查询；列表提供企业名称，企业编码，经济性质，注册资本、所在地区、成立时间字段的显示并提供查看详情和导出的操作。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858520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详情</w:t>
      </w:r>
      <w:r>
        <w:rPr>
          <w:rFonts w:hint="eastAsia" w:ascii="宋体" w:hAnsi="宋体" w:cs="Times New Roman"/>
          <w:szCs w:val="24"/>
          <w:lang w:bidi="ar"/>
        </w:rPr>
        <w:t>：查看企业详情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2405" cy="941705"/>
            <wp:effectExtent l="0" t="0" r="4445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52" cy="94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3040" cy="1007745"/>
            <wp:effectExtent l="0" t="0" r="3810" b="190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69" cy="10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导出</w:t>
      </w:r>
      <w:r>
        <w:rPr>
          <w:rFonts w:hint="eastAsia" w:ascii="宋体" w:hAnsi="宋体" w:cs="Times New Roman"/>
          <w:szCs w:val="24"/>
          <w:lang w:bidi="ar"/>
        </w:rPr>
        <w:t>：可以对企业统计表执行导出操作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962025"/>
            <wp:effectExtent l="0" t="0" r="2540" b="952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31" w:name="_Toc56088496"/>
      <w:r>
        <w:rPr>
          <w:rFonts w:hint="eastAsia"/>
        </w:rPr>
        <w:t>五方主体</w:t>
      </w:r>
      <w:bookmarkEnd w:id="31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列表：提供行政区划和工程编码，可以根据工程编码查询出该工程编码下的五方主体信息；</w:t>
      </w:r>
      <w:r>
        <w:rPr>
          <w:rFonts w:ascii="宋体" w:hAnsi="宋体" w:cs="Times New Roman"/>
          <w:szCs w:val="24"/>
          <w:lang w:bidi="ar"/>
        </w:rPr>
        <w:br w:type="textWrapping"/>
      </w:r>
      <w:r>
        <w:drawing>
          <wp:inline distT="0" distB="0" distL="0" distR="0">
            <wp:extent cx="5274310" cy="12807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32" w:name="_Toc56088497"/>
      <w:r>
        <w:rPr>
          <w:rFonts w:hint="eastAsia"/>
        </w:rPr>
        <w:t>班组工人</w:t>
      </w:r>
      <w:bookmarkEnd w:id="32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可根据工程编码查询选择出已经开户的工程，选择工程下相应的班组，可以查询出该工程下该班组下的所有工人信息；</w:t>
      </w:r>
      <w:r>
        <w:rPr>
          <w:rFonts w:ascii="宋体" w:hAnsi="宋体" w:cs="Times New Roman"/>
          <w:szCs w:val="24"/>
          <w:lang w:bidi="ar"/>
        </w:rPr>
        <w:t xml:space="preserve"> </w:t>
      </w:r>
      <w:r>
        <w:rPr>
          <w:rFonts w:ascii="宋体" w:hAnsi="宋体" w:cs="Times New Roman"/>
          <w:szCs w:val="24"/>
          <w:lang w:bidi="ar"/>
        </w:rPr>
        <w:br w:type="textWrapping"/>
      </w:r>
      <w:r>
        <w:drawing>
          <wp:inline distT="0" distB="0" distL="0" distR="0">
            <wp:extent cx="5274310" cy="11283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20" w:after="120"/>
      </w:pPr>
      <w:bookmarkStart w:id="33" w:name="_Toc56088498"/>
      <w:r>
        <w:rPr>
          <w:rFonts w:hint="eastAsia"/>
        </w:rPr>
        <w:t>经办网点统计表</w:t>
      </w:r>
      <w:bookmarkEnd w:id="33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 xml:space="preserve">可以统计出各个网点本月开户次数、本年开户次数以及总共开户次数； 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115697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20" w:after="120"/>
      </w:pPr>
      <w:bookmarkStart w:id="34" w:name="_Toc56088499"/>
      <w:r>
        <w:rPr>
          <w:rFonts w:hint="eastAsia"/>
        </w:rPr>
        <w:t>开户流程</w:t>
      </w:r>
      <w:bookmarkEnd w:id="34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可查看到当前工程开户的进度及流程步骤；并提供查看详情及打印管理协议功能操作；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4310" cy="13423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pStyle w:val="4"/>
        <w:numPr>
          <w:ilvl w:val="2"/>
          <w:numId w:val="1"/>
        </w:numPr>
        <w:spacing w:before="120" w:after="120"/>
      </w:pPr>
      <w:bookmarkStart w:id="35" w:name="_Toc56088500"/>
      <w:r>
        <w:rPr>
          <w:rFonts w:hint="eastAsia"/>
        </w:rPr>
        <w:t>销户流程</w:t>
      </w:r>
      <w:bookmarkEnd w:id="35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szCs w:val="24"/>
          <w:lang w:bidi="ar"/>
        </w:rPr>
        <w:t>查看到当前工程销户的进度及流程步骤；并提供销户详情查看操作；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3040" cy="1200150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2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szCs w:val="24"/>
          <w:lang w:bidi="ar"/>
        </w:rPr>
        <w:t xml:space="preserve"> 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sectPr>
      <w:headerReference r:id="rId11" w:type="default"/>
      <w:footerReference r:id="rId12" w:type="default"/>
      <w:pgSz w:w="11906" w:h="16838"/>
      <w:pgMar w:top="1440" w:right="1800" w:bottom="1440" w:left="1800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3418189"/>
    </w:sdtPr>
    <w:sdtContent>
      <w:p>
        <w:pPr>
          <w:pStyle w:val="11"/>
          <w:spacing w:before="120" w:after="1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27</w:t>
        </w:r>
        <w:r>
          <w:fldChar w:fldCharType="end"/>
        </w:r>
      </w:p>
    </w:sdtContent>
  </w:sdt>
  <w:p>
    <w:pPr>
      <w:pStyle w:val="11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580837"/>
    <w:multiLevelType w:val="multilevel"/>
    <w:tmpl w:val="0258083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709" w:hanging="709"/>
      </w:pPr>
      <w:rPr>
        <w:rFonts w:hint="eastAsia"/>
        <w:caps/>
      </w:rPr>
    </w:lvl>
    <w:lvl w:ilvl="3" w:tentative="0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4ZDdjODExMTlhNzFkOWNjN2ZmMmUwNjZlOTY3NmIifQ=="/>
  </w:docVars>
  <w:rsids>
    <w:rsidRoot w:val="00A468D8"/>
    <w:rsid w:val="00013FC8"/>
    <w:rsid w:val="0002431E"/>
    <w:rsid w:val="000251E4"/>
    <w:rsid w:val="0003592C"/>
    <w:rsid w:val="00036E05"/>
    <w:rsid w:val="000419AF"/>
    <w:rsid w:val="00046DBD"/>
    <w:rsid w:val="000603FF"/>
    <w:rsid w:val="00063BFE"/>
    <w:rsid w:val="00067480"/>
    <w:rsid w:val="00070CB0"/>
    <w:rsid w:val="00074458"/>
    <w:rsid w:val="00074B8D"/>
    <w:rsid w:val="00081972"/>
    <w:rsid w:val="000842A1"/>
    <w:rsid w:val="000B0D7C"/>
    <w:rsid w:val="000B0D88"/>
    <w:rsid w:val="000B7F37"/>
    <w:rsid w:val="000C635D"/>
    <w:rsid w:val="000C6BFC"/>
    <w:rsid w:val="000D0B21"/>
    <w:rsid w:val="000D0CD4"/>
    <w:rsid w:val="000D5C1F"/>
    <w:rsid w:val="000E6732"/>
    <w:rsid w:val="000F6D50"/>
    <w:rsid w:val="00105B2C"/>
    <w:rsid w:val="001230DA"/>
    <w:rsid w:val="00123130"/>
    <w:rsid w:val="001250B1"/>
    <w:rsid w:val="00126989"/>
    <w:rsid w:val="00127771"/>
    <w:rsid w:val="00136142"/>
    <w:rsid w:val="00137BBC"/>
    <w:rsid w:val="001437A6"/>
    <w:rsid w:val="00143885"/>
    <w:rsid w:val="00143C1F"/>
    <w:rsid w:val="001479EB"/>
    <w:rsid w:val="00152FDF"/>
    <w:rsid w:val="0015356E"/>
    <w:rsid w:val="00162B98"/>
    <w:rsid w:val="001644A3"/>
    <w:rsid w:val="00166E65"/>
    <w:rsid w:val="00172313"/>
    <w:rsid w:val="001824EE"/>
    <w:rsid w:val="001958B3"/>
    <w:rsid w:val="001A3F44"/>
    <w:rsid w:val="001B2345"/>
    <w:rsid w:val="001C4EA8"/>
    <w:rsid w:val="001C531D"/>
    <w:rsid w:val="001C57FE"/>
    <w:rsid w:val="001E18A6"/>
    <w:rsid w:val="001E6105"/>
    <w:rsid w:val="001E6C28"/>
    <w:rsid w:val="001F1E55"/>
    <w:rsid w:val="00201DEA"/>
    <w:rsid w:val="0020597D"/>
    <w:rsid w:val="00206AC3"/>
    <w:rsid w:val="00212503"/>
    <w:rsid w:val="002135C1"/>
    <w:rsid w:val="00231BDC"/>
    <w:rsid w:val="00233B73"/>
    <w:rsid w:val="00242A13"/>
    <w:rsid w:val="00266115"/>
    <w:rsid w:val="00271BB5"/>
    <w:rsid w:val="00272A80"/>
    <w:rsid w:val="00273ACD"/>
    <w:rsid w:val="00274B1F"/>
    <w:rsid w:val="00275A75"/>
    <w:rsid w:val="00275D1D"/>
    <w:rsid w:val="002855DD"/>
    <w:rsid w:val="002A66D2"/>
    <w:rsid w:val="002A6713"/>
    <w:rsid w:val="002B3A98"/>
    <w:rsid w:val="002B5786"/>
    <w:rsid w:val="002B79C5"/>
    <w:rsid w:val="002C5AD2"/>
    <w:rsid w:val="002D1D93"/>
    <w:rsid w:val="002E05E3"/>
    <w:rsid w:val="002E65AF"/>
    <w:rsid w:val="002F01CE"/>
    <w:rsid w:val="002F04B6"/>
    <w:rsid w:val="002F111E"/>
    <w:rsid w:val="002F497A"/>
    <w:rsid w:val="002F5A36"/>
    <w:rsid w:val="00301D71"/>
    <w:rsid w:val="0030218C"/>
    <w:rsid w:val="003021B3"/>
    <w:rsid w:val="00304171"/>
    <w:rsid w:val="00305419"/>
    <w:rsid w:val="0030561F"/>
    <w:rsid w:val="00333E6C"/>
    <w:rsid w:val="00340AF0"/>
    <w:rsid w:val="00346D25"/>
    <w:rsid w:val="00352037"/>
    <w:rsid w:val="0035306C"/>
    <w:rsid w:val="00355332"/>
    <w:rsid w:val="0035613B"/>
    <w:rsid w:val="0038471A"/>
    <w:rsid w:val="003948CE"/>
    <w:rsid w:val="003A1275"/>
    <w:rsid w:val="003B182B"/>
    <w:rsid w:val="003D2BDB"/>
    <w:rsid w:val="003D3878"/>
    <w:rsid w:val="003E5799"/>
    <w:rsid w:val="003F6518"/>
    <w:rsid w:val="00402F3B"/>
    <w:rsid w:val="00403F1C"/>
    <w:rsid w:val="004059B8"/>
    <w:rsid w:val="004220F3"/>
    <w:rsid w:val="0042232B"/>
    <w:rsid w:val="00424A62"/>
    <w:rsid w:val="00445134"/>
    <w:rsid w:val="004474BD"/>
    <w:rsid w:val="004478B4"/>
    <w:rsid w:val="00452E8C"/>
    <w:rsid w:val="00453073"/>
    <w:rsid w:val="0046362B"/>
    <w:rsid w:val="0049467D"/>
    <w:rsid w:val="004952BD"/>
    <w:rsid w:val="004952BE"/>
    <w:rsid w:val="004A0423"/>
    <w:rsid w:val="004A2360"/>
    <w:rsid w:val="004A3A91"/>
    <w:rsid w:val="004B1BDE"/>
    <w:rsid w:val="004B77ED"/>
    <w:rsid w:val="004C1373"/>
    <w:rsid w:val="004C20B0"/>
    <w:rsid w:val="004D07C3"/>
    <w:rsid w:val="004D4BFD"/>
    <w:rsid w:val="004D7F13"/>
    <w:rsid w:val="004E05CF"/>
    <w:rsid w:val="004E1BAD"/>
    <w:rsid w:val="004E734A"/>
    <w:rsid w:val="00502BAB"/>
    <w:rsid w:val="00502D0D"/>
    <w:rsid w:val="00516CF4"/>
    <w:rsid w:val="00517533"/>
    <w:rsid w:val="00520A77"/>
    <w:rsid w:val="00520FDA"/>
    <w:rsid w:val="00527F8A"/>
    <w:rsid w:val="00532D8D"/>
    <w:rsid w:val="00534561"/>
    <w:rsid w:val="00536EE0"/>
    <w:rsid w:val="005422BE"/>
    <w:rsid w:val="005450BB"/>
    <w:rsid w:val="005513A3"/>
    <w:rsid w:val="00561441"/>
    <w:rsid w:val="0056731C"/>
    <w:rsid w:val="005718C5"/>
    <w:rsid w:val="00573652"/>
    <w:rsid w:val="00573C76"/>
    <w:rsid w:val="00574AA3"/>
    <w:rsid w:val="00575526"/>
    <w:rsid w:val="005770C9"/>
    <w:rsid w:val="0059110A"/>
    <w:rsid w:val="00593D20"/>
    <w:rsid w:val="00595886"/>
    <w:rsid w:val="005A65E2"/>
    <w:rsid w:val="005B2448"/>
    <w:rsid w:val="005B48A9"/>
    <w:rsid w:val="005B6A4A"/>
    <w:rsid w:val="005C0A29"/>
    <w:rsid w:val="005C3936"/>
    <w:rsid w:val="005C5702"/>
    <w:rsid w:val="005D5777"/>
    <w:rsid w:val="005D6D03"/>
    <w:rsid w:val="005D7892"/>
    <w:rsid w:val="005E190D"/>
    <w:rsid w:val="005E3F21"/>
    <w:rsid w:val="005F7387"/>
    <w:rsid w:val="00604EEF"/>
    <w:rsid w:val="00623A5F"/>
    <w:rsid w:val="00624BAE"/>
    <w:rsid w:val="00630778"/>
    <w:rsid w:val="00637104"/>
    <w:rsid w:val="00644BF4"/>
    <w:rsid w:val="00650263"/>
    <w:rsid w:val="006530EA"/>
    <w:rsid w:val="00653863"/>
    <w:rsid w:val="00654E20"/>
    <w:rsid w:val="00662B1B"/>
    <w:rsid w:val="00667101"/>
    <w:rsid w:val="00671454"/>
    <w:rsid w:val="00674550"/>
    <w:rsid w:val="006767D2"/>
    <w:rsid w:val="006800C1"/>
    <w:rsid w:val="00680B40"/>
    <w:rsid w:val="00682290"/>
    <w:rsid w:val="006A0F88"/>
    <w:rsid w:val="006A1F7F"/>
    <w:rsid w:val="006A2295"/>
    <w:rsid w:val="006A7F63"/>
    <w:rsid w:val="006B2212"/>
    <w:rsid w:val="006B6372"/>
    <w:rsid w:val="006D63EB"/>
    <w:rsid w:val="006D708B"/>
    <w:rsid w:val="006E5719"/>
    <w:rsid w:val="006E5F06"/>
    <w:rsid w:val="006F2573"/>
    <w:rsid w:val="00706CC9"/>
    <w:rsid w:val="00714F28"/>
    <w:rsid w:val="00715F9C"/>
    <w:rsid w:val="0073046F"/>
    <w:rsid w:val="00732BC4"/>
    <w:rsid w:val="00735456"/>
    <w:rsid w:val="00740055"/>
    <w:rsid w:val="0074044A"/>
    <w:rsid w:val="007411B5"/>
    <w:rsid w:val="00742079"/>
    <w:rsid w:val="007422FD"/>
    <w:rsid w:val="00750855"/>
    <w:rsid w:val="00753649"/>
    <w:rsid w:val="00757B45"/>
    <w:rsid w:val="007650CB"/>
    <w:rsid w:val="00773D0D"/>
    <w:rsid w:val="00773E0B"/>
    <w:rsid w:val="007742BE"/>
    <w:rsid w:val="007840AB"/>
    <w:rsid w:val="00797CC3"/>
    <w:rsid w:val="007B1C8D"/>
    <w:rsid w:val="007B20A6"/>
    <w:rsid w:val="007B58B3"/>
    <w:rsid w:val="007C2C5F"/>
    <w:rsid w:val="007C3268"/>
    <w:rsid w:val="007C50BB"/>
    <w:rsid w:val="007C50D9"/>
    <w:rsid w:val="007C68A1"/>
    <w:rsid w:val="007D4B61"/>
    <w:rsid w:val="007D51BB"/>
    <w:rsid w:val="007E192E"/>
    <w:rsid w:val="007F0923"/>
    <w:rsid w:val="007F4A28"/>
    <w:rsid w:val="007F7223"/>
    <w:rsid w:val="00801E21"/>
    <w:rsid w:val="0081093A"/>
    <w:rsid w:val="0081158C"/>
    <w:rsid w:val="00812D3A"/>
    <w:rsid w:val="00815A9B"/>
    <w:rsid w:val="00816855"/>
    <w:rsid w:val="00831744"/>
    <w:rsid w:val="008325AA"/>
    <w:rsid w:val="00836991"/>
    <w:rsid w:val="00844C66"/>
    <w:rsid w:val="008523F7"/>
    <w:rsid w:val="00855A3E"/>
    <w:rsid w:val="00856942"/>
    <w:rsid w:val="008626CE"/>
    <w:rsid w:val="00877CF7"/>
    <w:rsid w:val="0089338F"/>
    <w:rsid w:val="008A0AF9"/>
    <w:rsid w:val="008A158C"/>
    <w:rsid w:val="008B7B57"/>
    <w:rsid w:val="008D079E"/>
    <w:rsid w:val="008D28DB"/>
    <w:rsid w:val="008D3EBF"/>
    <w:rsid w:val="008D717B"/>
    <w:rsid w:val="008E0F3C"/>
    <w:rsid w:val="008E61DF"/>
    <w:rsid w:val="008F5261"/>
    <w:rsid w:val="008F52CF"/>
    <w:rsid w:val="00907043"/>
    <w:rsid w:val="00910010"/>
    <w:rsid w:val="00915FCE"/>
    <w:rsid w:val="0092408D"/>
    <w:rsid w:val="0092523E"/>
    <w:rsid w:val="0093149D"/>
    <w:rsid w:val="00932263"/>
    <w:rsid w:val="00934A54"/>
    <w:rsid w:val="0094174B"/>
    <w:rsid w:val="00944D2D"/>
    <w:rsid w:val="00945F85"/>
    <w:rsid w:val="009575EC"/>
    <w:rsid w:val="0096056F"/>
    <w:rsid w:val="00964FD8"/>
    <w:rsid w:val="0097201E"/>
    <w:rsid w:val="009745C1"/>
    <w:rsid w:val="00982BE5"/>
    <w:rsid w:val="0099122C"/>
    <w:rsid w:val="0099265E"/>
    <w:rsid w:val="00993384"/>
    <w:rsid w:val="00993930"/>
    <w:rsid w:val="00994607"/>
    <w:rsid w:val="00997960"/>
    <w:rsid w:val="00997BE4"/>
    <w:rsid w:val="009A2020"/>
    <w:rsid w:val="009A2394"/>
    <w:rsid w:val="009A2C21"/>
    <w:rsid w:val="009A387B"/>
    <w:rsid w:val="009A7CB7"/>
    <w:rsid w:val="009B054A"/>
    <w:rsid w:val="009B4087"/>
    <w:rsid w:val="009B5DF8"/>
    <w:rsid w:val="009C0005"/>
    <w:rsid w:val="009D0334"/>
    <w:rsid w:val="009E2F5F"/>
    <w:rsid w:val="009E6C62"/>
    <w:rsid w:val="009F4A9A"/>
    <w:rsid w:val="00A0235B"/>
    <w:rsid w:val="00A02B25"/>
    <w:rsid w:val="00A1344E"/>
    <w:rsid w:val="00A15D3A"/>
    <w:rsid w:val="00A214F9"/>
    <w:rsid w:val="00A2281D"/>
    <w:rsid w:val="00A23750"/>
    <w:rsid w:val="00A2390F"/>
    <w:rsid w:val="00A25CC7"/>
    <w:rsid w:val="00A2616B"/>
    <w:rsid w:val="00A26ADF"/>
    <w:rsid w:val="00A30EBF"/>
    <w:rsid w:val="00A32442"/>
    <w:rsid w:val="00A45C46"/>
    <w:rsid w:val="00A468D8"/>
    <w:rsid w:val="00A5049C"/>
    <w:rsid w:val="00A54B06"/>
    <w:rsid w:val="00A55E3E"/>
    <w:rsid w:val="00A64620"/>
    <w:rsid w:val="00A66FD7"/>
    <w:rsid w:val="00A71D4F"/>
    <w:rsid w:val="00A76569"/>
    <w:rsid w:val="00A831EE"/>
    <w:rsid w:val="00A835F3"/>
    <w:rsid w:val="00A84EE3"/>
    <w:rsid w:val="00A86CE9"/>
    <w:rsid w:val="00A8782A"/>
    <w:rsid w:val="00A96375"/>
    <w:rsid w:val="00AA0042"/>
    <w:rsid w:val="00AA425A"/>
    <w:rsid w:val="00AA7496"/>
    <w:rsid w:val="00AB0DAB"/>
    <w:rsid w:val="00AB23CC"/>
    <w:rsid w:val="00AB3DC7"/>
    <w:rsid w:val="00AB58AD"/>
    <w:rsid w:val="00AB63CE"/>
    <w:rsid w:val="00AC1D3F"/>
    <w:rsid w:val="00AC6B92"/>
    <w:rsid w:val="00AD6DFC"/>
    <w:rsid w:val="00AE2641"/>
    <w:rsid w:val="00AE321E"/>
    <w:rsid w:val="00AE58EE"/>
    <w:rsid w:val="00AE6775"/>
    <w:rsid w:val="00AE7BAF"/>
    <w:rsid w:val="00B03779"/>
    <w:rsid w:val="00B15864"/>
    <w:rsid w:val="00B15C2B"/>
    <w:rsid w:val="00B27A3D"/>
    <w:rsid w:val="00B33B73"/>
    <w:rsid w:val="00B359EB"/>
    <w:rsid w:val="00B44ADC"/>
    <w:rsid w:val="00B47C61"/>
    <w:rsid w:val="00B52538"/>
    <w:rsid w:val="00B557F5"/>
    <w:rsid w:val="00B6100A"/>
    <w:rsid w:val="00B62362"/>
    <w:rsid w:val="00B802DB"/>
    <w:rsid w:val="00B80435"/>
    <w:rsid w:val="00B8521A"/>
    <w:rsid w:val="00B900CD"/>
    <w:rsid w:val="00B941BE"/>
    <w:rsid w:val="00BA1F66"/>
    <w:rsid w:val="00BA6A3C"/>
    <w:rsid w:val="00BB3CD6"/>
    <w:rsid w:val="00BB7E8D"/>
    <w:rsid w:val="00BC0854"/>
    <w:rsid w:val="00BC628A"/>
    <w:rsid w:val="00BD6A5F"/>
    <w:rsid w:val="00BE334E"/>
    <w:rsid w:val="00BE5F38"/>
    <w:rsid w:val="00BF1F67"/>
    <w:rsid w:val="00C03581"/>
    <w:rsid w:val="00C232D6"/>
    <w:rsid w:val="00C24F7C"/>
    <w:rsid w:val="00C26639"/>
    <w:rsid w:val="00C31672"/>
    <w:rsid w:val="00C33E32"/>
    <w:rsid w:val="00C4577C"/>
    <w:rsid w:val="00C47AD5"/>
    <w:rsid w:val="00C53E41"/>
    <w:rsid w:val="00C546BD"/>
    <w:rsid w:val="00C56B90"/>
    <w:rsid w:val="00C61944"/>
    <w:rsid w:val="00C656F6"/>
    <w:rsid w:val="00C65F1E"/>
    <w:rsid w:val="00C67248"/>
    <w:rsid w:val="00C71179"/>
    <w:rsid w:val="00C801B4"/>
    <w:rsid w:val="00C95D5C"/>
    <w:rsid w:val="00CA7F06"/>
    <w:rsid w:val="00CB0CD8"/>
    <w:rsid w:val="00CB5677"/>
    <w:rsid w:val="00CC75CA"/>
    <w:rsid w:val="00CD0E63"/>
    <w:rsid w:val="00CD10E6"/>
    <w:rsid w:val="00CD2AC9"/>
    <w:rsid w:val="00CD7C9F"/>
    <w:rsid w:val="00CF1D54"/>
    <w:rsid w:val="00D0167E"/>
    <w:rsid w:val="00D01860"/>
    <w:rsid w:val="00D024E2"/>
    <w:rsid w:val="00D02766"/>
    <w:rsid w:val="00D22B61"/>
    <w:rsid w:val="00D31525"/>
    <w:rsid w:val="00D3230F"/>
    <w:rsid w:val="00D37426"/>
    <w:rsid w:val="00D3791D"/>
    <w:rsid w:val="00D40B27"/>
    <w:rsid w:val="00D440D7"/>
    <w:rsid w:val="00D46794"/>
    <w:rsid w:val="00D533B5"/>
    <w:rsid w:val="00D5534A"/>
    <w:rsid w:val="00D61029"/>
    <w:rsid w:val="00D626DD"/>
    <w:rsid w:val="00D70252"/>
    <w:rsid w:val="00D721CF"/>
    <w:rsid w:val="00D87831"/>
    <w:rsid w:val="00D95E23"/>
    <w:rsid w:val="00D97D6A"/>
    <w:rsid w:val="00DA0740"/>
    <w:rsid w:val="00DB0828"/>
    <w:rsid w:val="00DB105A"/>
    <w:rsid w:val="00DB32C3"/>
    <w:rsid w:val="00DB7AFE"/>
    <w:rsid w:val="00DB7C68"/>
    <w:rsid w:val="00DC6DAC"/>
    <w:rsid w:val="00DD4333"/>
    <w:rsid w:val="00DD72DC"/>
    <w:rsid w:val="00DE7C63"/>
    <w:rsid w:val="00DF066E"/>
    <w:rsid w:val="00E03E1E"/>
    <w:rsid w:val="00E06755"/>
    <w:rsid w:val="00E10E80"/>
    <w:rsid w:val="00E15F90"/>
    <w:rsid w:val="00E238B1"/>
    <w:rsid w:val="00E254CB"/>
    <w:rsid w:val="00E26744"/>
    <w:rsid w:val="00E27FA2"/>
    <w:rsid w:val="00E53E86"/>
    <w:rsid w:val="00E56A8A"/>
    <w:rsid w:val="00E60030"/>
    <w:rsid w:val="00E6509D"/>
    <w:rsid w:val="00E6626A"/>
    <w:rsid w:val="00E838F4"/>
    <w:rsid w:val="00E873F6"/>
    <w:rsid w:val="00EA12C5"/>
    <w:rsid w:val="00EA4F78"/>
    <w:rsid w:val="00EB2320"/>
    <w:rsid w:val="00EB2E84"/>
    <w:rsid w:val="00EB54DD"/>
    <w:rsid w:val="00EC25FF"/>
    <w:rsid w:val="00EC3EB0"/>
    <w:rsid w:val="00EC4C43"/>
    <w:rsid w:val="00ED2767"/>
    <w:rsid w:val="00ED3139"/>
    <w:rsid w:val="00ED432B"/>
    <w:rsid w:val="00EE4675"/>
    <w:rsid w:val="00EE561B"/>
    <w:rsid w:val="00EE74AA"/>
    <w:rsid w:val="00EF09A2"/>
    <w:rsid w:val="00F00378"/>
    <w:rsid w:val="00F06353"/>
    <w:rsid w:val="00F073EF"/>
    <w:rsid w:val="00F1165E"/>
    <w:rsid w:val="00F12323"/>
    <w:rsid w:val="00F13170"/>
    <w:rsid w:val="00F15F69"/>
    <w:rsid w:val="00F204F0"/>
    <w:rsid w:val="00F22D69"/>
    <w:rsid w:val="00F52969"/>
    <w:rsid w:val="00F5570C"/>
    <w:rsid w:val="00F569B6"/>
    <w:rsid w:val="00F56EA2"/>
    <w:rsid w:val="00F72B7D"/>
    <w:rsid w:val="00F839F9"/>
    <w:rsid w:val="00F86EEA"/>
    <w:rsid w:val="00F97FC4"/>
    <w:rsid w:val="00FA096B"/>
    <w:rsid w:val="00FA536A"/>
    <w:rsid w:val="00FC003A"/>
    <w:rsid w:val="00FC11FC"/>
    <w:rsid w:val="00FD11AB"/>
    <w:rsid w:val="00FD14A7"/>
    <w:rsid w:val="00FE3DC7"/>
    <w:rsid w:val="00FE5ED8"/>
    <w:rsid w:val="00FE6A10"/>
    <w:rsid w:val="00FF1571"/>
    <w:rsid w:val="00FF285D"/>
    <w:rsid w:val="01EE5A90"/>
    <w:rsid w:val="02134E89"/>
    <w:rsid w:val="0261568E"/>
    <w:rsid w:val="026157C1"/>
    <w:rsid w:val="0288603D"/>
    <w:rsid w:val="03205822"/>
    <w:rsid w:val="034100B3"/>
    <w:rsid w:val="039B517C"/>
    <w:rsid w:val="03C86BE1"/>
    <w:rsid w:val="03DB73ED"/>
    <w:rsid w:val="041A1DCD"/>
    <w:rsid w:val="04B9139A"/>
    <w:rsid w:val="04C26E05"/>
    <w:rsid w:val="059D73E4"/>
    <w:rsid w:val="059F7816"/>
    <w:rsid w:val="05E41A9E"/>
    <w:rsid w:val="06524DCC"/>
    <w:rsid w:val="066A5798"/>
    <w:rsid w:val="068F1F38"/>
    <w:rsid w:val="06B4196A"/>
    <w:rsid w:val="07657CE9"/>
    <w:rsid w:val="0788495E"/>
    <w:rsid w:val="07C159A5"/>
    <w:rsid w:val="080C06AC"/>
    <w:rsid w:val="080C25B1"/>
    <w:rsid w:val="0AC437AC"/>
    <w:rsid w:val="0B296C95"/>
    <w:rsid w:val="0BC20425"/>
    <w:rsid w:val="0C13563F"/>
    <w:rsid w:val="0C2B0CA5"/>
    <w:rsid w:val="0CDF4CAB"/>
    <w:rsid w:val="0D7B1A11"/>
    <w:rsid w:val="0DB146C5"/>
    <w:rsid w:val="0E061086"/>
    <w:rsid w:val="0E132422"/>
    <w:rsid w:val="0E254FCB"/>
    <w:rsid w:val="0E370BB3"/>
    <w:rsid w:val="0EF72187"/>
    <w:rsid w:val="0F630F16"/>
    <w:rsid w:val="0FE62913"/>
    <w:rsid w:val="1075798A"/>
    <w:rsid w:val="10D93C5E"/>
    <w:rsid w:val="10EF61C8"/>
    <w:rsid w:val="10F30DBA"/>
    <w:rsid w:val="112B5D34"/>
    <w:rsid w:val="1134023C"/>
    <w:rsid w:val="114144A4"/>
    <w:rsid w:val="117831E2"/>
    <w:rsid w:val="11DF20F3"/>
    <w:rsid w:val="123B4D10"/>
    <w:rsid w:val="12767995"/>
    <w:rsid w:val="12C24F0A"/>
    <w:rsid w:val="138A71EF"/>
    <w:rsid w:val="14037E4B"/>
    <w:rsid w:val="14085C40"/>
    <w:rsid w:val="141042EB"/>
    <w:rsid w:val="141654A7"/>
    <w:rsid w:val="14725367"/>
    <w:rsid w:val="14AE7802"/>
    <w:rsid w:val="15956417"/>
    <w:rsid w:val="15DD5D76"/>
    <w:rsid w:val="16090E40"/>
    <w:rsid w:val="1668125F"/>
    <w:rsid w:val="173D0E0F"/>
    <w:rsid w:val="17642207"/>
    <w:rsid w:val="179F033A"/>
    <w:rsid w:val="19417864"/>
    <w:rsid w:val="195311F7"/>
    <w:rsid w:val="19563BCB"/>
    <w:rsid w:val="1A0117AF"/>
    <w:rsid w:val="1A620112"/>
    <w:rsid w:val="1A697B04"/>
    <w:rsid w:val="1AE764AE"/>
    <w:rsid w:val="1C7B7667"/>
    <w:rsid w:val="1CD143AD"/>
    <w:rsid w:val="1CD428D2"/>
    <w:rsid w:val="1DA06DC9"/>
    <w:rsid w:val="1DC476B7"/>
    <w:rsid w:val="1DD35B79"/>
    <w:rsid w:val="1E4B7962"/>
    <w:rsid w:val="1E4E041A"/>
    <w:rsid w:val="1F077A12"/>
    <w:rsid w:val="20295219"/>
    <w:rsid w:val="20D67AB6"/>
    <w:rsid w:val="20F96799"/>
    <w:rsid w:val="21250D61"/>
    <w:rsid w:val="21675EA7"/>
    <w:rsid w:val="21A0366E"/>
    <w:rsid w:val="228A425B"/>
    <w:rsid w:val="2297355D"/>
    <w:rsid w:val="229B746B"/>
    <w:rsid w:val="22E54690"/>
    <w:rsid w:val="23692466"/>
    <w:rsid w:val="237702A5"/>
    <w:rsid w:val="242275C4"/>
    <w:rsid w:val="247A5DEB"/>
    <w:rsid w:val="24FC7847"/>
    <w:rsid w:val="252010A0"/>
    <w:rsid w:val="253950ED"/>
    <w:rsid w:val="25785166"/>
    <w:rsid w:val="25872BFA"/>
    <w:rsid w:val="26B24333"/>
    <w:rsid w:val="26DC5D7C"/>
    <w:rsid w:val="27090DAB"/>
    <w:rsid w:val="27DC4515"/>
    <w:rsid w:val="28020AED"/>
    <w:rsid w:val="286852BC"/>
    <w:rsid w:val="28B66B13"/>
    <w:rsid w:val="29130C2F"/>
    <w:rsid w:val="2925006E"/>
    <w:rsid w:val="29287D96"/>
    <w:rsid w:val="293329BC"/>
    <w:rsid w:val="29454607"/>
    <w:rsid w:val="295409B6"/>
    <w:rsid w:val="295C4AA5"/>
    <w:rsid w:val="29AD2F93"/>
    <w:rsid w:val="2AD82F40"/>
    <w:rsid w:val="2AF35684"/>
    <w:rsid w:val="2B041E69"/>
    <w:rsid w:val="2B180D0B"/>
    <w:rsid w:val="2B4148C1"/>
    <w:rsid w:val="2CDE53A3"/>
    <w:rsid w:val="2DFC37F7"/>
    <w:rsid w:val="2E0E5E24"/>
    <w:rsid w:val="2E3B6258"/>
    <w:rsid w:val="2E4130C2"/>
    <w:rsid w:val="2E79350C"/>
    <w:rsid w:val="2ECC6E9B"/>
    <w:rsid w:val="2F70131D"/>
    <w:rsid w:val="30DD0F32"/>
    <w:rsid w:val="313570AB"/>
    <w:rsid w:val="318F179D"/>
    <w:rsid w:val="31B26395"/>
    <w:rsid w:val="32C43288"/>
    <w:rsid w:val="32C8102C"/>
    <w:rsid w:val="34A35B2C"/>
    <w:rsid w:val="34C02F7C"/>
    <w:rsid w:val="34C36B1F"/>
    <w:rsid w:val="352D7F1A"/>
    <w:rsid w:val="35870BA6"/>
    <w:rsid w:val="35BC24A8"/>
    <w:rsid w:val="35FA7F30"/>
    <w:rsid w:val="36C94B16"/>
    <w:rsid w:val="36EF2783"/>
    <w:rsid w:val="37893AA2"/>
    <w:rsid w:val="37926405"/>
    <w:rsid w:val="380F1385"/>
    <w:rsid w:val="387F4C83"/>
    <w:rsid w:val="38A235A1"/>
    <w:rsid w:val="38A2765F"/>
    <w:rsid w:val="391210A5"/>
    <w:rsid w:val="39695700"/>
    <w:rsid w:val="39A74BFE"/>
    <w:rsid w:val="39FB7F50"/>
    <w:rsid w:val="3A3F040B"/>
    <w:rsid w:val="3AC60943"/>
    <w:rsid w:val="3B081DEB"/>
    <w:rsid w:val="3B495D38"/>
    <w:rsid w:val="3BB406D1"/>
    <w:rsid w:val="3C135B10"/>
    <w:rsid w:val="3C520D1A"/>
    <w:rsid w:val="3DA62F0C"/>
    <w:rsid w:val="3DB23D2E"/>
    <w:rsid w:val="3DD25666"/>
    <w:rsid w:val="3E6368B8"/>
    <w:rsid w:val="3EC05723"/>
    <w:rsid w:val="3F3E4DD0"/>
    <w:rsid w:val="3F6C3C8B"/>
    <w:rsid w:val="3F797526"/>
    <w:rsid w:val="3FE82D27"/>
    <w:rsid w:val="401C1863"/>
    <w:rsid w:val="401F4E98"/>
    <w:rsid w:val="40311AE9"/>
    <w:rsid w:val="40A829E1"/>
    <w:rsid w:val="40F51D6B"/>
    <w:rsid w:val="41A1320A"/>
    <w:rsid w:val="42343570"/>
    <w:rsid w:val="424F79DC"/>
    <w:rsid w:val="430B401D"/>
    <w:rsid w:val="4362070C"/>
    <w:rsid w:val="43DB0645"/>
    <w:rsid w:val="44017A55"/>
    <w:rsid w:val="4410397A"/>
    <w:rsid w:val="4443228E"/>
    <w:rsid w:val="44724C62"/>
    <w:rsid w:val="44A87835"/>
    <w:rsid w:val="45625ED0"/>
    <w:rsid w:val="45815606"/>
    <w:rsid w:val="45847F23"/>
    <w:rsid w:val="45E5100E"/>
    <w:rsid w:val="45F9684E"/>
    <w:rsid w:val="461C2FE2"/>
    <w:rsid w:val="46245273"/>
    <w:rsid w:val="46413E4C"/>
    <w:rsid w:val="46AF0E8D"/>
    <w:rsid w:val="474A6E05"/>
    <w:rsid w:val="47707A7C"/>
    <w:rsid w:val="490F5503"/>
    <w:rsid w:val="4914605A"/>
    <w:rsid w:val="49473F61"/>
    <w:rsid w:val="495E1B0E"/>
    <w:rsid w:val="49937E9C"/>
    <w:rsid w:val="49960604"/>
    <w:rsid w:val="4A563ED9"/>
    <w:rsid w:val="4AB95B19"/>
    <w:rsid w:val="4ABB7C81"/>
    <w:rsid w:val="4AE5634A"/>
    <w:rsid w:val="4B414098"/>
    <w:rsid w:val="4B7A04DC"/>
    <w:rsid w:val="4C1C0180"/>
    <w:rsid w:val="4C3779E4"/>
    <w:rsid w:val="4C956395"/>
    <w:rsid w:val="4CE84FD9"/>
    <w:rsid w:val="4D20397C"/>
    <w:rsid w:val="4D706CD2"/>
    <w:rsid w:val="4EDE44D4"/>
    <w:rsid w:val="4F480E74"/>
    <w:rsid w:val="4F974F44"/>
    <w:rsid w:val="50052082"/>
    <w:rsid w:val="503E6B7D"/>
    <w:rsid w:val="50511899"/>
    <w:rsid w:val="50B842E0"/>
    <w:rsid w:val="51863C88"/>
    <w:rsid w:val="519438D0"/>
    <w:rsid w:val="51A17A1F"/>
    <w:rsid w:val="51FC33B9"/>
    <w:rsid w:val="520317FE"/>
    <w:rsid w:val="520D0C9F"/>
    <w:rsid w:val="52621580"/>
    <w:rsid w:val="541E02E1"/>
    <w:rsid w:val="543C0D33"/>
    <w:rsid w:val="544E5DA6"/>
    <w:rsid w:val="54553131"/>
    <w:rsid w:val="549859C7"/>
    <w:rsid w:val="5574375C"/>
    <w:rsid w:val="56B7650F"/>
    <w:rsid w:val="56E63F6F"/>
    <w:rsid w:val="572341A2"/>
    <w:rsid w:val="58174DA5"/>
    <w:rsid w:val="583D2756"/>
    <w:rsid w:val="586A331A"/>
    <w:rsid w:val="58A907B4"/>
    <w:rsid w:val="58D264C7"/>
    <w:rsid w:val="58E1188D"/>
    <w:rsid w:val="5A871149"/>
    <w:rsid w:val="5AAF2199"/>
    <w:rsid w:val="5AFB7335"/>
    <w:rsid w:val="5B7127CF"/>
    <w:rsid w:val="5B7502FF"/>
    <w:rsid w:val="5C357504"/>
    <w:rsid w:val="5D867469"/>
    <w:rsid w:val="5DD616DA"/>
    <w:rsid w:val="5E022158"/>
    <w:rsid w:val="5E0F7635"/>
    <w:rsid w:val="5FC56127"/>
    <w:rsid w:val="5FEB6A85"/>
    <w:rsid w:val="601B1FAA"/>
    <w:rsid w:val="605F18A8"/>
    <w:rsid w:val="618A438F"/>
    <w:rsid w:val="61B75F78"/>
    <w:rsid w:val="61D439AA"/>
    <w:rsid w:val="61FF2234"/>
    <w:rsid w:val="621B66C2"/>
    <w:rsid w:val="623617B5"/>
    <w:rsid w:val="63D02DF4"/>
    <w:rsid w:val="64771E52"/>
    <w:rsid w:val="65312612"/>
    <w:rsid w:val="655E0E7D"/>
    <w:rsid w:val="66822068"/>
    <w:rsid w:val="66C0255B"/>
    <w:rsid w:val="67977514"/>
    <w:rsid w:val="67A75B74"/>
    <w:rsid w:val="67EF4850"/>
    <w:rsid w:val="68C27D07"/>
    <w:rsid w:val="69363E26"/>
    <w:rsid w:val="6A53386B"/>
    <w:rsid w:val="6AFB0525"/>
    <w:rsid w:val="6CC53FD5"/>
    <w:rsid w:val="6D4F31FC"/>
    <w:rsid w:val="6D7D07A4"/>
    <w:rsid w:val="6DFE6DC5"/>
    <w:rsid w:val="6E480B69"/>
    <w:rsid w:val="6E6E0521"/>
    <w:rsid w:val="6E986496"/>
    <w:rsid w:val="6EB306A3"/>
    <w:rsid w:val="6EE03C20"/>
    <w:rsid w:val="6F0C6C29"/>
    <w:rsid w:val="6F13042C"/>
    <w:rsid w:val="6F2845EA"/>
    <w:rsid w:val="6F2A070C"/>
    <w:rsid w:val="6F686275"/>
    <w:rsid w:val="6F782764"/>
    <w:rsid w:val="6F847E85"/>
    <w:rsid w:val="6FA12741"/>
    <w:rsid w:val="707F5D1E"/>
    <w:rsid w:val="70852296"/>
    <w:rsid w:val="71147290"/>
    <w:rsid w:val="714F7113"/>
    <w:rsid w:val="72095CA8"/>
    <w:rsid w:val="723E1E5A"/>
    <w:rsid w:val="747C1F99"/>
    <w:rsid w:val="74921764"/>
    <w:rsid w:val="74ED1AB5"/>
    <w:rsid w:val="76090D46"/>
    <w:rsid w:val="7631454B"/>
    <w:rsid w:val="76D931AD"/>
    <w:rsid w:val="772A6CC0"/>
    <w:rsid w:val="775D533C"/>
    <w:rsid w:val="775F7758"/>
    <w:rsid w:val="78011438"/>
    <w:rsid w:val="78073D87"/>
    <w:rsid w:val="78515B5F"/>
    <w:rsid w:val="78B04FC4"/>
    <w:rsid w:val="799501AB"/>
    <w:rsid w:val="7A213BAD"/>
    <w:rsid w:val="7A250418"/>
    <w:rsid w:val="7A5B55AD"/>
    <w:rsid w:val="7A8644A2"/>
    <w:rsid w:val="7A9A3103"/>
    <w:rsid w:val="7B19216C"/>
    <w:rsid w:val="7B1F4CE1"/>
    <w:rsid w:val="7C712366"/>
    <w:rsid w:val="7C84798E"/>
    <w:rsid w:val="7CC63498"/>
    <w:rsid w:val="7CDA27BD"/>
    <w:rsid w:val="7CE65A05"/>
    <w:rsid w:val="7D29515A"/>
    <w:rsid w:val="7D6711B2"/>
    <w:rsid w:val="7DBF50AC"/>
    <w:rsid w:val="7DDD198A"/>
    <w:rsid w:val="7E522F10"/>
    <w:rsid w:val="7ED248C7"/>
    <w:rsid w:val="7F2B3C70"/>
    <w:rsid w:val="7F3365B3"/>
    <w:rsid w:val="7F4D6209"/>
    <w:rsid w:val="7F83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qFormat="1" w:uiPriority="39" w:semiHidden="0" w:name="toc 5"/>
    <w:lsdException w:uiPriority="39" w:semiHidden="0" w:name="toc 6"/>
    <w:lsdException w:qFormat="1"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before="50" w:beforeLines="50" w:after="50" w:afterLines="50" w:line="360" w:lineRule="auto"/>
    </w:pPr>
    <w:rPr>
      <w:rFonts w:ascii="Tahoma" w:hAnsi="Tahoma" w:eastAsia="宋体" w:cstheme="minorBidi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00" w:after="300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300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300" w:lineRule="auto"/>
      <w:outlineLvl w:val="2"/>
    </w:pPr>
    <w:rPr>
      <w:rFonts w:asciiTheme="majorHAnsi" w:hAnsiTheme="majorHAnsi"/>
      <w:b/>
      <w:bCs/>
      <w:sz w:val="32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widowControl w:val="0"/>
      <w:adjustRightInd/>
      <w:snapToGrid/>
      <w:spacing w:before="0" w:beforeLines="0" w:after="0" w:afterLines="0" w:line="240" w:lineRule="auto"/>
      <w:ind w:left="2520" w:leftChars="1200"/>
      <w:jc w:val="both"/>
    </w:pPr>
    <w:rPr>
      <w:rFonts w:asciiTheme="minorHAnsi" w:hAnsiTheme="minorHAnsi" w:eastAsiaTheme="minorEastAsia"/>
      <w:kern w:val="2"/>
      <w:sz w:val="21"/>
    </w:rPr>
  </w:style>
  <w:style w:type="paragraph" w:styleId="6">
    <w:name w:val="toc 5"/>
    <w:basedOn w:val="1"/>
    <w:next w:val="1"/>
    <w:unhideWhenUsed/>
    <w:qFormat/>
    <w:uiPriority w:val="39"/>
    <w:pPr>
      <w:widowControl w:val="0"/>
      <w:adjustRightInd/>
      <w:snapToGrid/>
      <w:spacing w:before="0" w:beforeLines="0" w:after="0" w:afterLines="0" w:line="240" w:lineRule="auto"/>
      <w:ind w:left="1680" w:leftChars="800"/>
      <w:jc w:val="both"/>
    </w:pPr>
    <w:rPr>
      <w:rFonts w:asciiTheme="minorHAnsi" w:hAnsiTheme="minorHAnsi" w:eastAsiaTheme="minorEastAsia"/>
      <w:kern w:val="2"/>
      <w:sz w:val="21"/>
    </w:rPr>
  </w:style>
  <w:style w:type="paragraph" w:styleId="7">
    <w:name w:val="toc 3"/>
    <w:basedOn w:val="1"/>
    <w:next w:val="1"/>
    <w:unhideWhenUsed/>
    <w:qFormat/>
    <w:uiPriority w:val="39"/>
    <w:pPr>
      <w:adjustRightInd/>
      <w:snapToGrid/>
      <w:spacing w:after="100" w:line="259" w:lineRule="auto"/>
      <w:ind w:left="440"/>
    </w:pPr>
    <w:rPr>
      <w:rFonts w:cs="Times New Roman" w:asciiTheme="minorHAnsi" w:hAnsiTheme="minorHAnsi"/>
      <w:sz w:val="22"/>
    </w:rPr>
  </w:style>
  <w:style w:type="paragraph" w:styleId="8">
    <w:name w:val="toc 8"/>
    <w:basedOn w:val="1"/>
    <w:next w:val="1"/>
    <w:unhideWhenUsed/>
    <w:qFormat/>
    <w:uiPriority w:val="39"/>
    <w:pPr>
      <w:widowControl w:val="0"/>
      <w:adjustRightInd/>
      <w:snapToGrid/>
      <w:spacing w:before="0" w:beforeLines="0" w:after="0" w:afterLines="0" w:line="240" w:lineRule="auto"/>
      <w:ind w:left="2940" w:leftChars="1400"/>
      <w:jc w:val="both"/>
    </w:pPr>
    <w:rPr>
      <w:rFonts w:asciiTheme="minorHAnsi" w:hAnsiTheme="minorHAnsi" w:eastAsiaTheme="minorEastAsia"/>
      <w:kern w:val="2"/>
      <w:sz w:val="21"/>
    </w:rPr>
  </w:style>
  <w:style w:type="paragraph" w:styleId="9">
    <w:name w:val="Date"/>
    <w:basedOn w:val="1"/>
    <w:next w:val="1"/>
    <w:link w:val="32"/>
    <w:semiHidden/>
    <w:unhideWhenUsed/>
    <w:uiPriority w:val="99"/>
    <w:pPr>
      <w:ind w:left="100" w:leftChars="2500"/>
    </w:pPr>
  </w:style>
  <w:style w:type="paragraph" w:styleId="10">
    <w:name w:val="Balloon Text"/>
    <w:basedOn w:val="1"/>
    <w:link w:val="31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adjustRightInd/>
      <w:snapToGrid/>
      <w:spacing w:after="100" w:line="259" w:lineRule="auto"/>
    </w:pPr>
    <w:rPr>
      <w:rFonts w:cs="Times New Roman" w:asciiTheme="minorHAnsi" w:hAnsiTheme="minorHAnsi"/>
      <w:sz w:val="22"/>
    </w:rPr>
  </w:style>
  <w:style w:type="paragraph" w:styleId="14">
    <w:name w:val="toc 4"/>
    <w:basedOn w:val="1"/>
    <w:next w:val="1"/>
    <w:unhideWhenUsed/>
    <w:uiPriority w:val="39"/>
    <w:pPr>
      <w:widowControl w:val="0"/>
      <w:adjustRightInd/>
      <w:snapToGrid/>
      <w:spacing w:before="0" w:beforeLines="0" w:after="0" w:afterLines="0" w:line="240" w:lineRule="auto"/>
      <w:ind w:left="1260" w:leftChars="600"/>
      <w:jc w:val="both"/>
    </w:pPr>
    <w:rPr>
      <w:rFonts w:asciiTheme="minorHAnsi" w:hAnsiTheme="minorHAnsi" w:eastAsiaTheme="minorEastAsia"/>
      <w:kern w:val="2"/>
      <w:sz w:val="21"/>
    </w:rPr>
  </w:style>
  <w:style w:type="paragraph" w:styleId="15">
    <w:name w:val="toc 6"/>
    <w:basedOn w:val="1"/>
    <w:next w:val="1"/>
    <w:unhideWhenUsed/>
    <w:uiPriority w:val="39"/>
    <w:pPr>
      <w:widowControl w:val="0"/>
      <w:adjustRightInd/>
      <w:snapToGrid/>
      <w:spacing w:before="0" w:beforeLines="0" w:after="0" w:afterLines="0" w:line="240" w:lineRule="auto"/>
      <w:ind w:left="2100" w:leftChars="1000"/>
      <w:jc w:val="both"/>
    </w:pPr>
    <w:rPr>
      <w:rFonts w:asciiTheme="minorHAnsi" w:hAnsiTheme="minorHAnsi" w:eastAsiaTheme="minorEastAsia"/>
      <w:kern w:val="2"/>
      <w:sz w:val="21"/>
    </w:rPr>
  </w:style>
  <w:style w:type="paragraph" w:styleId="16">
    <w:name w:val="toc 2"/>
    <w:basedOn w:val="1"/>
    <w:next w:val="1"/>
    <w:unhideWhenUsed/>
    <w:qFormat/>
    <w:uiPriority w:val="39"/>
    <w:pPr>
      <w:adjustRightInd/>
      <w:snapToGrid/>
      <w:spacing w:after="100" w:line="259" w:lineRule="auto"/>
      <w:ind w:left="220"/>
    </w:pPr>
    <w:rPr>
      <w:rFonts w:cs="Times New Roman" w:asciiTheme="minorHAnsi" w:hAnsiTheme="minorHAnsi"/>
      <w:sz w:val="22"/>
    </w:rPr>
  </w:style>
  <w:style w:type="paragraph" w:styleId="17">
    <w:name w:val="toc 9"/>
    <w:basedOn w:val="1"/>
    <w:next w:val="1"/>
    <w:unhideWhenUsed/>
    <w:uiPriority w:val="39"/>
    <w:pPr>
      <w:widowControl w:val="0"/>
      <w:adjustRightInd/>
      <w:snapToGrid/>
      <w:spacing w:before="0" w:beforeLines="0" w:after="0" w:afterLines="0" w:line="240" w:lineRule="auto"/>
      <w:ind w:left="3360" w:leftChars="1600"/>
      <w:jc w:val="both"/>
    </w:pPr>
    <w:rPr>
      <w:rFonts w:asciiTheme="minorHAnsi" w:hAnsiTheme="minorHAnsi" w:eastAsiaTheme="minorEastAsia"/>
      <w:kern w:val="2"/>
      <w:sz w:val="21"/>
    </w:rPr>
  </w:style>
  <w:style w:type="table" w:styleId="19">
    <w:name w:val="Table Grid"/>
    <w:basedOn w:val="18"/>
    <w:unhideWhenUsed/>
    <w:qFormat/>
    <w:uiPriority w:val="59"/>
    <w:rPr>
      <w:rFonts w:eastAsia="微软雅黑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basedOn w:val="20"/>
    <w:link w:val="2"/>
    <w:qFormat/>
    <w:uiPriority w:val="9"/>
    <w:rPr>
      <w:rFonts w:ascii="宋体" w:hAnsi="宋体" w:eastAsia="宋体"/>
      <w:b/>
      <w:bCs/>
      <w:kern w:val="44"/>
      <w:sz w:val="44"/>
      <w:szCs w:val="44"/>
    </w:rPr>
  </w:style>
  <w:style w:type="character" w:customStyle="1" w:styleId="23">
    <w:name w:val="标题 2 Char"/>
    <w:basedOn w:val="20"/>
    <w:link w:val="3"/>
    <w:qFormat/>
    <w:uiPriority w:val="9"/>
    <w:rPr>
      <w:rFonts w:eastAsia="宋体" w:asciiTheme="majorHAnsi" w:hAnsiTheme="majorHAnsi" w:cstheme="majorBidi"/>
      <w:b/>
      <w:bCs/>
      <w:kern w:val="0"/>
      <w:sz w:val="32"/>
      <w:szCs w:val="32"/>
    </w:rPr>
  </w:style>
  <w:style w:type="character" w:customStyle="1" w:styleId="24">
    <w:name w:val="标题 3 Char"/>
    <w:basedOn w:val="20"/>
    <w:link w:val="4"/>
    <w:qFormat/>
    <w:uiPriority w:val="9"/>
    <w:rPr>
      <w:rFonts w:eastAsia="宋体" w:asciiTheme="majorHAnsi" w:hAnsiTheme="majorHAnsi"/>
      <w:b/>
      <w:bCs/>
      <w:kern w:val="0"/>
      <w:sz w:val="32"/>
      <w:szCs w:val="32"/>
    </w:rPr>
  </w:style>
  <w:style w:type="character" w:customStyle="1" w:styleId="25">
    <w:name w:val="页脚 Char"/>
    <w:basedOn w:val="20"/>
    <w:link w:val="11"/>
    <w:qFormat/>
    <w:uiPriority w:val="99"/>
    <w:rPr>
      <w:rFonts w:ascii="Tahoma" w:hAnsi="Tahoma"/>
      <w:kern w:val="0"/>
      <w:sz w:val="18"/>
      <w:szCs w:val="18"/>
    </w:rPr>
  </w:style>
  <w:style w:type="character" w:customStyle="1" w:styleId="26">
    <w:name w:val="页眉 Char"/>
    <w:basedOn w:val="20"/>
    <w:link w:val="12"/>
    <w:qFormat/>
    <w:uiPriority w:val="99"/>
    <w:rPr>
      <w:rFonts w:ascii="Tahoma" w:hAnsi="Tahoma"/>
      <w:kern w:val="0"/>
      <w:sz w:val="18"/>
      <w:szCs w:val="18"/>
    </w:rPr>
  </w:style>
  <w:style w:type="paragraph" w:customStyle="1" w:styleId="27">
    <w:name w:val="列出段落1"/>
    <w:basedOn w:val="1"/>
    <w:qFormat/>
    <w:uiPriority w:val="99"/>
    <w:pPr>
      <w:ind w:firstLine="420" w:firstLineChars="200"/>
    </w:pPr>
  </w:style>
  <w:style w:type="paragraph" w:customStyle="1" w:styleId="28">
    <w:name w:val="TOC 标题1"/>
    <w:basedOn w:val="2"/>
    <w:next w:val="1"/>
    <w:unhideWhenUsed/>
    <w:qFormat/>
    <w:uiPriority w:val="39"/>
    <w:pPr>
      <w:adjustRightInd/>
      <w:snapToGrid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9">
    <w:name w:val="未处理的提及1"/>
    <w:basedOn w:val="20"/>
    <w:unhideWhenUsed/>
    <w:qFormat/>
    <w:uiPriority w:val="99"/>
    <w:rPr>
      <w:color w:val="808080"/>
      <w:shd w:val="clear" w:color="auto" w:fill="E6E6E6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批注框文本 Char"/>
    <w:basedOn w:val="20"/>
    <w:link w:val="10"/>
    <w:semiHidden/>
    <w:qFormat/>
    <w:uiPriority w:val="99"/>
    <w:rPr>
      <w:rFonts w:ascii="Tahoma" w:hAnsi="Tahoma" w:eastAsia="宋体"/>
      <w:kern w:val="0"/>
      <w:sz w:val="18"/>
      <w:szCs w:val="18"/>
    </w:rPr>
  </w:style>
  <w:style w:type="character" w:customStyle="1" w:styleId="32">
    <w:name w:val="日期 Char"/>
    <w:basedOn w:val="20"/>
    <w:link w:val="9"/>
    <w:semiHidden/>
    <w:qFormat/>
    <w:uiPriority w:val="99"/>
    <w:rPr>
      <w:rFonts w:ascii="Tahoma" w:hAnsi="Tahoma" w:eastAsia="宋体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customXml" Target="../customXml/item1.xml"/><Relationship Id="rId93" Type="http://schemas.openxmlformats.org/officeDocument/2006/relationships/numbering" Target="numbering.xml"/><Relationship Id="rId92" Type="http://schemas.openxmlformats.org/officeDocument/2006/relationships/image" Target="media/image79.png"/><Relationship Id="rId91" Type="http://schemas.openxmlformats.org/officeDocument/2006/relationships/image" Target="media/image78.png"/><Relationship Id="rId90" Type="http://schemas.openxmlformats.org/officeDocument/2006/relationships/image" Target="media/image77.png"/><Relationship Id="rId9" Type="http://schemas.openxmlformats.org/officeDocument/2006/relationships/footer" Target="footer2.xml"/><Relationship Id="rId89" Type="http://schemas.openxmlformats.org/officeDocument/2006/relationships/image" Target="media/image76.png"/><Relationship Id="rId88" Type="http://schemas.openxmlformats.org/officeDocument/2006/relationships/image" Target="media/image75.png"/><Relationship Id="rId87" Type="http://schemas.openxmlformats.org/officeDocument/2006/relationships/image" Target="media/image74.png"/><Relationship Id="rId86" Type="http://schemas.openxmlformats.org/officeDocument/2006/relationships/image" Target="media/image73.png"/><Relationship Id="rId85" Type="http://schemas.openxmlformats.org/officeDocument/2006/relationships/image" Target="media/image72.png"/><Relationship Id="rId84" Type="http://schemas.openxmlformats.org/officeDocument/2006/relationships/image" Target="media/image71.png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footer" Target="footer1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4AEB1-C2BC-4E0D-A188-17A7DFAA84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30</Pages>
  <Words>3959</Words>
  <Characters>4432</Characters>
  <Lines>49</Lines>
  <Paragraphs>13</Paragraphs>
  <TotalTime>1437</TotalTime>
  <ScaleCrop>false</ScaleCrop>
  <LinksUpToDate>false</LinksUpToDate>
  <CharactersWithSpaces>4647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2017-10-24T11:44:00Z</dcterms:created>
  <dc:creator>lenovo</dc:creator>
  <cp:lastModifiedBy>成</cp:lastModifiedBy>
  <dcterms:modified xsi:type="dcterms:W3CDTF">2023-08-09T07:35:08Z</dcterms:modified>
  <cp:revision>425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F5299888C0754B0BA863252EE467A843_12</vt:lpwstr>
  </property>
</Properties>
</file>